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6"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220" w:right="1300" w:hanging="1435"/>
        <w:spacing w:after="0" w:line="256" w:lineRule="auto"/>
        <w:tabs>
          <w:tab w:leader="none" w:pos="22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220" w:right="860" w:hanging="1395"/>
        <w:spacing w:after="0" w:line="256" w:lineRule="auto"/>
        <w:tabs>
          <w:tab w:leader="none" w:pos="22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0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001-13459</w:t>
      </w:r>
    </w:p>
    <w:p>
      <w:pPr>
        <w:spacing w:after="0" w:line="279" w:lineRule="exact"/>
        <w:rPr>
          <w:sz w:val="24"/>
          <w:szCs w:val="24"/>
          <w:color w:val="auto"/>
        </w:rPr>
      </w:pPr>
    </w:p>
    <w:p>
      <w:pPr>
        <w:ind w:left="3060"/>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98425</wp:posOffset>
            </wp:positionV>
            <wp:extent cx="797560"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Affiliated Managers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2220" w:type="dxa"/>
        <w:tblCellMar>
          <w:top w:w="0" w:type="dxa"/>
          <w:left w:w="0" w:type="dxa"/>
          <w:bottom w:w="0" w:type="dxa"/>
          <w:right w:w="0" w:type="dxa"/>
        </w:tblCellMar>
      </w:tblPr>
      <w:tr>
        <w:trPr>
          <w:trHeight w:val="220"/>
        </w:trPr>
        <w:tc>
          <w:tcPr>
            <w:tcW w:w="3620" w:type="dxa"/>
            <w:vAlign w:val="bottom"/>
          </w:tcPr>
          <w:p>
            <w:pPr>
              <w:jc w:val="center"/>
              <w:ind w:right="135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04-3218510</w:t>
            </w:r>
          </w:p>
        </w:tc>
      </w:tr>
      <w:tr>
        <w:trPr>
          <w:trHeight w:val="216"/>
        </w:trPr>
        <w:tc>
          <w:tcPr>
            <w:tcW w:w="3620" w:type="dxa"/>
            <w:vAlign w:val="bottom"/>
          </w:tcPr>
          <w:p>
            <w:pPr>
              <w:jc w:val="center"/>
              <w:ind w:right="1350"/>
              <w:spacing w:after="0"/>
              <w:rPr>
                <w:sz w:val="20"/>
                <w:szCs w:val="20"/>
                <w:color w:val="auto"/>
              </w:rPr>
            </w:pPr>
            <w:r>
              <w:rPr>
                <w:rFonts w:ascii="Arial" w:cs="Arial" w:eastAsia="Arial" w:hAnsi="Arial"/>
                <w:sz w:val="18"/>
                <w:szCs w:val="18"/>
                <w:color w:val="auto"/>
                <w:w w:val="93"/>
              </w:rPr>
              <w:t>(State or other jurisdiction of</w:t>
            </w:r>
          </w:p>
        </w:tc>
        <w:tc>
          <w:tcPr>
            <w:tcW w:w="3120" w:type="dxa"/>
            <w:vAlign w:val="bottom"/>
          </w:tcPr>
          <w:p>
            <w:pPr>
              <w:jc w:val="center"/>
              <w:ind w:left="1350"/>
              <w:spacing w:after="0"/>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tcPr>
          <w:p>
            <w:pPr>
              <w:jc w:val="center"/>
              <w:ind w:right="1350"/>
              <w:spacing w:after="0"/>
              <w:rPr>
                <w:sz w:val="20"/>
                <w:szCs w:val="20"/>
                <w:color w:val="auto"/>
              </w:rPr>
            </w:pPr>
            <w:r>
              <w:rPr>
                <w:rFonts w:ascii="Arial" w:cs="Arial" w:eastAsia="Arial" w:hAnsi="Arial"/>
                <w:sz w:val="18"/>
                <w:szCs w:val="18"/>
                <w:color w:val="auto"/>
                <w:w w:val="93"/>
              </w:rPr>
              <w:t>incorporation or organization)</w:t>
            </w:r>
          </w:p>
        </w:tc>
        <w:tc>
          <w:tcPr>
            <w:tcW w:w="3120" w:type="dxa"/>
            <w:vAlign w:val="bottom"/>
          </w:tcPr>
          <w:p>
            <w:pPr>
              <w:jc w:val="center"/>
              <w:ind w:left="1350"/>
              <w:spacing w:after="0"/>
              <w:rPr>
                <w:sz w:val="20"/>
                <w:szCs w:val="20"/>
                <w:color w:val="auto"/>
              </w:rPr>
            </w:pPr>
            <w:r>
              <w:rPr>
                <w:rFonts w:ascii="Arial" w:cs="Arial" w:eastAsia="Arial" w:hAnsi="Arial"/>
                <w:sz w:val="18"/>
                <w:szCs w:val="18"/>
                <w:color w:val="auto"/>
                <w:w w:val="95"/>
              </w:rPr>
              <w:t>Identification Number)</w:t>
            </w: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South Flagler Drive, West Palm Beach, Florida, 33401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98" w:lineRule="exact"/>
        <w:rPr>
          <w:sz w:val="24"/>
          <w:szCs w:val="24"/>
          <w:color w:val="auto"/>
        </w:rPr>
      </w:pPr>
    </w:p>
    <w:tbl>
      <w:tblPr>
        <w:tblLayout w:type="fixed"/>
        <w:tblInd w:w="1580" w:type="dxa"/>
        <w:tblCellMar>
          <w:top w:w="0" w:type="dxa"/>
          <w:left w:w="0" w:type="dxa"/>
          <w:bottom w:w="0" w:type="dxa"/>
          <w:right w:w="0" w:type="dxa"/>
        </w:tblCellMar>
      </w:tblPr>
      <w:tr>
        <w:trPr>
          <w:trHeight w:val="192"/>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Common Stock ($0.01 par value)</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9"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ectPr>
          <w:pgSz w:w="11900" w:h="16838" w:orient="portrait"/>
          <w:cols w:equalWidth="0" w:num="1">
            <w:col w:w="11420"/>
          </w:cols>
          <w:pgMar w:left="240" w:top="233" w:right="239" w:bottom="0" w:gutter="0" w:footer="0" w:header="0"/>
        </w:sectPr>
      </w:pPr>
    </w:p>
    <w:p>
      <w:pPr>
        <w:spacing w:after="0" w:line="243"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4"/>
          <w:szCs w:val="24"/>
          <w:color w:val="auto"/>
        </w:rPr>
      </w:pPr>
    </w:p>
    <w:p>
      <w:pPr>
        <w:sectPr>
          <w:pgSz w:w="11900" w:h="16838" w:orient="portrait"/>
          <w:cols w:equalWidth="0" w:num="2">
            <w:col w:w="9460" w:space="180"/>
            <w:col w:w="1780"/>
          </w:cols>
          <w:pgMar w:left="240" w:top="233" w:right="239" w:bottom="0" w:gutter="0" w:footer="0" w:header="0"/>
          <w:type w:val="continuous"/>
        </w:sectPr>
      </w:pPr>
    </w:p>
    <w:p>
      <w:pPr>
        <w:spacing w:after="0" w:line="102"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540" w:space="180"/>
            <w:col w:w="1700"/>
          </w:cols>
          <w:pgMar w:left="240" w:top="233" w:right="239" w:bottom="0" w:gutter="0" w:footer="0" w:header="0"/>
          <w:type w:val="continuous"/>
        </w:sectPr>
      </w:pPr>
    </w:p>
    <w:p>
      <w:pPr>
        <w:spacing w:after="0" w:line="102" w:lineRule="exact"/>
        <w:rPr>
          <w:sz w:val="24"/>
          <w:szCs w:val="24"/>
          <w:color w:val="auto"/>
        </w:rPr>
      </w:pPr>
    </w:p>
    <w:p>
      <w:pPr>
        <w:ind w:right="18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40" w:firstLine="48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100" w:val="left"/>
        </w:tabs>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70" w:lineRule="exact"/>
        <w:rPr>
          <w:sz w:val="24"/>
          <w:szCs w:val="24"/>
          <w:color w:val="auto"/>
        </w:rPr>
      </w:pPr>
    </w:p>
    <w:p>
      <w:pPr>
        <w:ind w:firstLine="486"/>
        <w:spacing w:after="0" w:line="342"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K or any amendment to this Form 10-K. </w:t>
      </w:r>
      <w:r>
        <w:rPr>
          <w:rFonts w:ascii="MS PGothic" w:cs="MS PGothic" w:eastAsia="MS PGothic" w:hAnsi="MS PGothic"/>
          <w:sz w:val="18"/>
          <w:szCs w:val="18"/>
          <w:color w:val="auto"/>
        </w:rPr>
        <w:t>☒</w:t>
      </w:r>
    </w:p>
    <w:p>
      <w:pPr>
        <w:spacing w:after="0" w:line="31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91" w:right="279" w:bottom="1440" w:gutter="0" w:footer="0" w:header="0"/>
        </w:sectPr>
      </w:pPr>
    </w:p>
    <w:p>
      <w:pPr>
        <w:spacing w:after="0" w:line="230"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Emerging</w:t>
      </w:r>
    </w:p>
    <w:p>
      <w:pPr>
        <w:spacing w:after="0" w:line="23"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growth company o</w:t>
      </w:r>
    </w:p>
    <w:p>
      <w:pPr>
        <w:spacing w:after="0" w:line="180" w:lineRule="exact"/>
        <w:rPr>
          <w:sz w:val="20"/>
          <w:szCs w:val="20"/>
          <w:color w:val="auto"/>
        </w:rPr>
      </w:pPr>
    </w:p>
    <w:p>
      <w:pPr>
        <w:sectPr>
          <w:pgSz w:w="11900" w:h="16838" w:orient="portrait"/>
          <w:cols w:equalWidth="0" w:num="5">
            <w:col w:w="2120" w:space="680"/>
            <w:col w:w="1340" w:space="720"/>
            <w:col w:w="1660" w:space="440"/>
            <w:col w:w="2100" w:space="440"/>
            <w:col w:w="1880"/>
          </w:cols>
          <w:pgMar w:left="240" w:top="91" w:right="279" w:bottom="1440" w:gutter="0" w:footer="0" w:header="0"/>
          <w:type w:val="continuous"/>
        </w:sectPr>
      </w:pPr>
    </w:p>
    <w:p>
      <w:pPr>
        <w:ind w:right="16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2" w:lineRule="exact"/>
        <w:rPr>
          <w:sz w:val="20"/>
          <w:szCs w:val="20"/>
          <w:color w:val="auto"/>
        </w:rPr>
      </w:pPr>
    </w:p>
    <w:p>
      <w:pPr>
        <w:ind w:left="500"/>
        <w:spacing w:after="0" w:line="196" w:lineRule="exact"/>
        <w:tabs>
          <w:tab w:leader="none" w:pos="8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2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At June 30, 2018, the aggregate market value of the common stock held by non-affiliates of the registrant, based upon the closing price of $148.67 on June 29, 2018 on the New York Stock Exchange, was $7,886,822,780. There were 52,048,705 shares of the registrant’s common stock outstanding on February 19, 2019.</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Portions of the definitive proxy statement to be filed with the Securities and Exchange Commission within 120 days after December 31, 2018, and delivered to stockholders in connection with the registrant’s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213360</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380"/>
          </w:cols>
          <w:pgMar w:left="240" w:top="91"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31"/>
        </w:trPr>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gridSpan w:val="8"/>
          </w:tcPr>
          <w:p>
            <w:pPr>
              <w:jc w:val="center"/>
              <w:ind w:right="4740"/>
              <w:spacing w:after="0"/>
              <w:rPr>
                <w:sz w:val="20"/>
                <w:szCs w:val="20"/>
                <w:color w:val="auto"/>
              </w:rPr>
            </w:pPr>
            <w:r>
              <w:rPr>
                <w:rFonts w:ascii="Arial" w:cs="Arial" w:eastAsia="Arial" w:hAnsi="Arial"/>
                <w:sz w:val="18"/>
                <w:szCs w:val="18"/>
                <w:b w:val="1"/>
                <w:bCs w:val="1"/>
                <w:color w:val="auto"/>
              </w:rPr>
              <w:t>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40" w:type="dxa"/>
            <w:vAlign w:val="bottom"/>
            <w:gridSpan w:val="9"/>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1640" w:type="dxa"/>
            <w:vAlign w:val="bottom"/>
            <w:gridSpan w:val="9"/>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960" w:type="dxa"/>
            <w:vAlign w:val="bottom"/>
            <w:gridSpan w:val="5"/>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Item 1A.</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Item 1B.</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160" w:type="dxa"/>
            <w:vAlign w:val="bottom"/>
            <w:tcBorders>
              <w:top w:val="single" w:sz="8" w:color="0000EE"/>
            </w:tcBorders>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21"/>
                <w:szCs w:val="21"/>
                <w:color w:val="auto"/>
              </w:rPr>
            </w:pPr>
          </w:p>
        </w:tc>
        <w:tc>
          <w:tcPr>
            <w:tcW w:w="750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3.</w:t>
              </w:r>
            </w:hyperlink>
          </w:p>
        </w:tc>
        <w:tc>
          <w:tcPr>
            <w:tcW w:w="960" w:type="dxa"/>
            <w:vAlign w:val="bottom"/>
            <w:gridSpan w:val="5"/>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820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4.</w:t>
              </w:r>
            </w:hyperlink>
          </w:p>
        </w:tc>
        <w:tc>
          <w:tcPr>
            <w:tcW w:w="960" w:type="dxa"/>
            <w:vAlign w:val="bottom"/>
            <w:gridSpan w:val="5"/>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776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gridSpan w:val="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5.</w:t>
              </w:r>
            </w:hyperlink>
          </w:p>
        </w:tc>
        <w:tc>
          <w:tcPr>
            <w:tcW w:w="20" w:type="dxa"/>
            <w:vAlign w:val="bottom"/>
            <w:tcBorders>
              <w:top w:val="single" w:sz="8" w:color="0000EE"/>
            </w:tcBorders>
          </w:tcPr>
          <w:p>
            <w:pPr>
              <w:spacing w:after="0"/>
              <w:rPr>
                <w:sz w:val="21"/>
                <w:szCs w:val="21"/>
                <w:color w:val="auto"/>
              </w:rPr>
            </w:pPr>
          </w:p>
        </w:tc>
        <w:tc>
          <w:tcPr>
            <w:tcW w:w="940" w:type="dxa"/>
            <w:vAlign w:val="bottom"/>
            <w:gridSpan w:val="4"/>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6.</w:t>
              </w:r>
            </w:hyperlink>
          </w:p>
        </w:tc>
        <w:tc>
          <w:tcPr>
            <w:tcW w:w="960" w:type="dxa"/>
            <w:vAlign w:val="bottom"/>
            <w:gridSpan w:val="5"/>
          </w:tcPr>
          <w:p>
            <w:pPr>
              <w:spacing w:after="0"/>
              <w:rPr>
                <w:sz w:val="21"/>
                <w:szCs w:val="21"/>
                <w:color w:val="auto"/>
              </w:rPr>
            </w:pP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6340" w:type="dxa"/>
            <w:vAlign w:val="bottom"/>
            <w:tcBorders>
              <w:top w:val="single" w:sz="8" w:color="0000EE"/>
            </w:tcBorders>
            <w:gridSpan w:val="13"/>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7.</w:t>
              </w:r>
            </w:hyperlink>
          </w:p>
        </w:tc>
        <w:tc>
          <w:tcPr>
            <w:tcW w:w="960" w:type="dxa"/>
            <w:vAlign w:val="bottom"/>
            <w:gridSpan w:val="5"/>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20</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7A.</w:t>
              </w:r>
            </w:hyperlink>
          </w:p>
        </w:tc>
        <w:tc>
          <w:tcPr>
            <w:tcW w:w="800" w:type="dxa"/>
            <w:vAlign w:val="bottom"/>
            <w:gridSpan w:val="2"/>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Item 8.</w:t>
              </w:r>
            </w:hyperlink>
          </w:p>
        </w:tc>
        <w:tc>
          <w:tcPr>
            <w:tcW w:w="160" w:type="dxa"/>
            <w:vAlign w:val="bottom"/>
            <w:tcBorders>
              <w:top w:val="single" w:sz="8" w:color="0000EE"/>
            </w:tcBorders>
            <w:gridSpan w:val="3"/>
          </w:tcPr>
          <w:p>
            <w:pPr>
              <w:spacing w:after="0"/>
              <w:rPr>
                <w:sz w:val="21"/>
                <w:szCs w:val="21"/>
                <w:color w:val="auto"/>
              </w:rPr>
            </w:pPr>
          </w:p>
        </w:tc>
        <w:tc>
          <w:tcPr>
            <w:tcW w:w="800" w:type="dxa"/>
            <w:vAlign w:val="bottom"/>
            <w:gridSpan w:val="2"/>
          </w:tcPr>
          <w:p>
            <w:pPr>
              <w:spacing w:after="0"/>
              <w:rPr>
                <w:sz w:val="21"/>
                <w:szCs w:val="21"/>
                <w:color w:val="auto"/>
              </w:rPr>
            </w:pP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518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Item 9.</w:t>
              </w:r>
            </w:hyperlink>
          </w:p>
        </w:tc>
        <w:tc>
          <w:tcPr>
            <w:tcW w:w="960" w:type="dxa"/>
            <w:vAlign w:val="bottom"/>
            <w:gridSpan w:val="5"/>
          </w:tcPr>
          <w:p>
            <w:pPr>
              <w:spacing w:after="0"/>
              <w:rPr>
                <w:sz w:val="21"/>
                <w:szCs w:val="21"/>
                <w:color w:val="auto"/>
              </w:rPr>
            </w:pPr>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Changes in and Disagreements With Accountants on Accounting and Financial Disclosure</w:t>
              </w:r>
            </w:hyperlink>
          </w:p>
        </w:tc>
        <w:tc>
          <w:tcPr>
            <w:tcW w:w="3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9A.</w:t>
              </w:r>
            </w:hyperlink>
          </w:p>
        </w:tc>
        <w:tc>
          <w:tcPr>
            <w:tcW w:w="800" w:type="dxa"/>
            <w:vAlign w:val="bottom"/>
            <w:gridSpan w:val="2"/>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Controls and Procedures</w:t>
              </w:r>
            </w:hyperlink>
          </w:p>
        </w:tc>
        <w:tc>
          <w:tcPr>
            <w:tcW w:w="776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9B.</w:t>
              </w:r>
            </w:hyperlink>
          </w:p>
        </w:tc>
        <w:tc>
          <w:tcPr>
            <w:tcW w:w="800" w:type="dxa"/>
            <w:vAlign w:val="bottom"/>
            <w:gridSpan w:val="2"/>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Other Information</w:t>
              </w:r>
            </w:hyperlink>
          </w:p>
        </w:tc>
        <w:tc>
          <w:tcPr>
            <w:tcW w:w="822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10.</w:t>
              </w:r>
            </w:hyperlink>
          </w:p>
        </w:tc>
        <w:tc>
          <w:tcPr>
            <w:tcW w:w="880" w:type="dxa"/>
            <w:vAlign w:val="bottom"/>
            <w:gridSpan w:val="3"/>
          </w:tcPr>
          <w:p>
            <w:pPr>
              <w:spacing w:after="0"/>
              <w:rPr>
                <w:sz w:val="21"/>
                <w:szCs w:val="21"/>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Directors, Executive Officers and Corporate Governance</w:t>
              </w:r>
            </w:hyperlink>
          </w:p>
        </w:tc>
        <w:tc>
          <w:tcPr>
            <w:tcW w:w="544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11.</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3"/>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bottom w:val="single" w:sz="8" w:color="0000EE"/>
            </w:tcBorders>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12.</w:t>
              </w:r>
            </w:hyperlink>
          </w:p>
        </w:tc>
        <w:tc>
          <w:tcPr>
            <w:tcW w:w="880" w:type="dxa"/>
            <w:vAlign w:val="bottom"/>
            <w:gridSpan w:val="3"/>
          </w:tcPr>
          <w:p>
            <w:pPr>
              <w:spacing w:after="0"/>
              <w:rPr>
                <w:sz w:val="21"/>
                <w:szCs w:val="21"/>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13.</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top w:val="single" w:sz="8" w:color="0000EE"/>
            </w:tcBorders>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14.</w:t>
              </w:r>
            </w:hyperlink>
          </w:p>
        </w:tc>
        <w:tc>
          <w:tcPr>
            <w:tcW w:w="880" w:type="dxa"/>
            <w:vAlign w:val="bottom"/>
            <w:gridSpan w:val="3"/>
          </w:tcPr>
          <w:p>
            <w:pPr>
              <w:spacing w:after="0"/>
              <w:rPr>
                <w:sz w:val="21"/>
                <w:szCs w:val="21"/>
                <w:color w:val="auto"/>
              </w:rPr>
            </w:pPr>
          </w:p>
        </w:tc>
        <w:tc>
          <w:tcPr>
            <w:tcW w:w="5400" w:type="dxa"/>
            <w:vAlign w:val="bottom"/>
            <w:tcBorders>
              <w:top w:val="single" w:sz="8" w:color="0000EE"/>
            </w:tcBorders>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4140" w:type="dxa"/>
            <w:vAlign w:val="bottom"/>
            <w:gridSpan w:val="5"/>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0"/>
        </w:trPr>
        <w:tc>
          <w:tcPr>
            <w:tcW w:w="180" w:type="dxa"/>
            <w:vAlign w:val="bottom"/>
            <w:gridSpan w:val="2"/>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640" w:type="dxa"/>
            <w:vAlign w:val="bottom"/>
            <w:gridSpan w:val="9"/>
          </w:tcPr>
          <w:p>
            <w:pPr>
              <w:ind w:left="40"/>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IV</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4"/>
          </w:tcPr>
          <w:p>
            <w:pPr>
              <w:spacing w:after="0"/>
              <w:rPr>
                <w:rFonts w:ascii="Arial" w:cs="Arial" w:eastAsia="Arial" w:hAnsi="Arial"/>
                <w:sz w:val="18"/>
                <w:szCs w:val="18"/>
                <w:color w:val="0000EE"/>
                <w:w w:val="82"/>
              </w:rPr>
            </w:pPr>
            <w:hyperlink w:anchor="page83">
              <w:r>
                <w:rPr>
                  <w:rFonts w:ascii="Arial" w:cs="Arial" w:eastAsia="Arial" w:hAnsi="Arial"/>
                  <w:sz w:val="18"/>
                  <w:szCs w:val="18"/>
                  <w:color w:val="0000EE"/>
                  <w:w w:val="82"/>
                </w:rPr>
                <w:t>Item 15.</w:t>
              </w:r>
            </w:hyperlink>
          </w:p>
        </w:tc>
        <w:tc>
          <w:tcPr>
            <w:tcW w:w="880" w:type="dxa"/>
            <w:vAlign w:val="bottom"/>
            <w:gridSpan w:val="3"/>
          </w:tcPr>
          <w:p>
            <w:pPr>
              <w:spacing w:after="0"/>
              <w:rPr>
                <w:sz w:val="21"/>
                <w:szCs w:val="21"/>
                <w:color w:val="auto"/>
              </w:rPr>
            </w:pPr>
          </w:p>
        </w:tc>
        <w:tc>
          <w:tcPr>
            <w:tcW w:w="954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2"/>
              </w:rPr>
            </w:pPr>
            <w:hyperlink w:anchor="page83">
              <w:r>
                <w:rPr>
                  <w:rFonts w:ascii="Arial" w:cs="Arial" w:eastAsia="Arial" w:hAnsi="Arial"/>
                  <w:sz w:val="18"/>
                  <w:szCs w:val="18"/>
                  <w:color w:val="0000EE"/>
                  <w:w w:val="82"/>
                </w:rPr>
                <w:t>Item 16.</w:t>
              </w:r>
            </w:hyperlink>
          </w:p>
        </w:tc>
        <w:tc>
          <w:tcPr>
            <w:tcW w:w="880" w:type="dxa"/>
            <w:vAlign w:val="bottom"/>
            <w:gridSpan w:val="3"/>
          </w:tcPr>
          <w:p>
            <w:pPr>
              <w:spacing w:after="0"/>
              <w:rPr>
                <w:sz w:val="21"/>
                <w:szCs w:val="21"/>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21"/>
                <w:szCs w:val="21"/>
                <w:color w:val="auto"/>
              </w:rPr>
            </w:pPr>
          </w:p>
        </w:tc>
        <w:tc>
          <w:tcPr>
            <w:tcW w:w="6640" w:type="dxa"/>
            <w:vAlign w:val="bottom"/>
            <w:gridSpan w:val="9"/>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r>
    </w:tbl>
    <w:p>
      <w:pPr>
        <w:sectPr>
          <w:pgSz w:w="11900" w:h="16838" w:orient="portrait"/>
          <w:cols w:equalWidth="0" w:num="1">
            <w:col w:w="11360"/>
          </w:cols>
          <w:pgMar w:left="240" w:top="108"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i w:val="1"/>
          <w:iCs w:val="1"/>
          <w:color w:val="auto"/>
        </w:rPr>
        <w:t>Certain matters discussed in this Annual Report on Form 10-K, in our other filings with the U.S.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w:t>
      </w:r>
    </w:p>
    <w:p>
      <w:pPr>
        <w:spacing w:after="0" w:line="24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These factors (among others) could affect our financial performance and cause actual results to differ materially from historical earnings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83"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are a global asset management company with equity investments in leading boutique investment management firms, which we refer to as our “Affiliates.” Our innovative partnership approach allows each Affiliate’s management team to own significant equity in their firm and maintain operational autonomy. Our strategy is to generate shareholder value through the growth of existing Affiliates, as well as through investments in new Affiliates and additional investments in existing Affiliates. In addition, we provide centralized assistance to our Affiliates in strategic matters, marketing, distribution, product development and operations. As of December 31, 2018, our aggregate assets under management were $736.0 billion in more than 500 investment products across a broad range of active, return-oriented strategies.</w:t>
      </w:r>
    </w:p>
    <w:p>
      <w:pPr>
        <w:spacing w:after="0" w:line="24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hold meaningful equity interests in each of our Affiliates and typically each Affiliate’s management team retains a significant equity interest in their own firm. Affiliate management equity ownership (along with our long-term ownership) aligns our interests, enhances Affiliate management equity incentives, and preserves the opportunity for Affiliate management to participate directly in the long-term future growth and profitability of their firms. Our innovative partnership approach also provides Affiliate management with a degree of liquidity and financial diversification and ensures that they maintain their unique entrepreneurial culture and independence by preserving their operational autonomy in managing their business.</w:t>
      </w:r>
    </w:p>
    <w:p>
      <w:pPr>
        <w:spacing w:after="0" w:line="22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Given our long-term partnership approach, we address the ongoing succession planning issues facing the Affiliate’s principal owners by facilitating the transfer of equity over time to the next generation of Affiliate management. At certain Affiliates, we do not have an obligation to repurchase equity interests, but we may make additional investments to further facilitate Affiliate ownership transition.</w:t>
      </w:r>
    </w:p>
    <w:p>
      <w:pPr>
        <w:spacing w:after="0" w:line="23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Although we invest in boutique investment management firms that we anticipate will grow independently, given our long-term partnership approach, we enhance our Affiliates’ growth prospects by providing access to the resources and scale of a global asset management company.</w:t>
      </w:r>
    </w:p>
    <w:p>
      <w:pPr>
        <w:spacing w:after="0" w:line="2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provide succession planning solutions to boutique investment management firms and we are focused on investing in firms around the world managing active, return-oriented strategies, including traditional and alternative firms, as well as wealth management firms. We identify high-quality boutique firms based on our thorough understanding of the investment management industry, and we have developed long-term relationships with a significant number of these firms. Within our target universe, we seek strong and stable boutiques that offer active, return-oriented strategies, such as alternative strategies and global equities strategies. These boutiques are typically characterized by a strong multi-generational management team, entrepreneurial culture and commitment to building long-term success.</w:t>
      </w:r>
    </w:p>
    <w:p>
      <w:pPr>
        <w:spacing w:after="0" w:line="24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anticipate that the principal owners of boutique investment management firms will continue to need a succession planning partner and we will, therefore, continue to have significant investment opportunities across the global asset management industry, including investment opportunities resulting from subsidiary divestitures, secondary sales and other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special situations. In addition, we also have the opportunity to make additional investments in our existing Affiliates. We are well-positioned to execute upon these investment opportunities through our established process of identifying and cultivating investment prospects, our broad industry relationships, and our substantial experience and expertise in structuring and negotiating transactions. We have a strong global reputation as an outstanding partner to our Affiliates, and we are widely recognized in the marketplace as providing innovative solutions for the succession planning and strategic needs of boutique investment management firms.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14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active, return-oriented strategies designed to assist institutional, retail and high net worth clients worldwide in achieving their investment objectives. We manage disciplined and focused investment strategies that address the specialized needs of institutional clients, including foundations and endowments, defined benefit and defined contribution plans for corporations and municipalities, and multi-employer plans. We provide boutique investment management expertise to retail investors through advisory and sub-advisory services to active, return-oriented mutual funds, Undertakings for the Collective Investment of Transferable Securities (“UCITS”), Collective Investment Trusts and other retail products. We also provide investment management and customized investment counseling and fiduciary services to high net worth individuals, families and charitable foundations, and to individually managed accounts via intermediaries, including brokerage firms or other sponsors.</w:t>
      </w:r>
    </w:p>
    <w:p>
      <w:pPr>
        <w:spacing w:after="0" w:line="12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of December 31, 2018, we managed $736.0 billion in equities, alternative and multi-asset strategies in more than 500 investment products across investment styles, asset classes and geographies. The following chart provides information regarding our equities, alternative, and multi-asset strategies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98425</wp:posOffset>
            </wp:positionV>
            <wp:extent cx="4090670" cy="234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067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Global Distribution</w:t>
      </w:r>
    </w:p>
    <w:p>
      <w:pPr>
        <w:spacing w:after="0" w:line="22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Through our Affiliates, we offer investors access to a broad and diverse array of independent boutique managers with distinct brands and specialized investment processes. Our Affiliates distribute their investment services and products to institutional investors through direct sales efforts and established relationships with consultants and intermediaries around the world through their own business development resources. In addition, our global distribution platform operates in major markets to extend the reach of our Affiliates’ own business development efforts. Our Affiliates benefit from the expertise of our senior sales and marketing professionals located in Asia, Australia, Europe, the Middle East, and the UK.</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Affiliates’ investment management services are also distributed globally to retail investors through our Affiliates’ own efforts and through our retail distribution platforms in the form of advisory and sub-advisory services to mutual funds and other retail oriented products. Our Affiliates’ investment management services are delivered to retail investors through various intermediaries, including independent investment advisers, retirement plan sponsors, broker-dealers, major fund marketplaces, sponsors of separately managed accounts (including unified managed accounts), and bank trust departments.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Affiliates currently manage assets for investors in more than 50 countries, including all major developed markets.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 and Relationship with Affiliates</w:t>
      </w:r>
    </w:p>
    <w:p>
      <w:pPr>
        <w:spacing w:after="0" w:line="28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and profitability of their firms. Our innovative partnership approach allows each Affiliate’s management team to retain sufficient equity in their firm to address their particular needs. Equity ownership also provides Affiliate management with a degree of liquidity and financial diversification and ensures that they maintain their unique entrepreneurial culture and independence by preserving their operational autonomy in managing their business.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w:t>
      </w:r>
    </w:p>
    <w:p>
      <w:pPr>
        <w:spacing w:after="0" w:line="24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Each of our Affiliates operates through distinct legal entities, which affords us the flexibility to design a separate operating agreement for each Affiliate that reflects our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2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while using the remainder of its revenue for operating expenses and for distributions to Affiliate management. We and Affiliate management, therefore, participate in any increase or decrease in revenue, and only Affiliate management participates in any increase or decrease in expenses. Our contractual share of revenue generally has priority over the distributions to Affiliate management.</w:t>
      </w:r>
    </w:p>
    <w:p>
      <w:pPr>
        <w:spacing w:after="0" w:line="2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w:t>
      </w:r>
    </w:p>
    <w:p>
      <w:pPr>
        <w:spacing w:after="0" w:line="24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When we own a controlling interest in an Affiliate, we consolidate the Affiliate’s financial results into our Consolidated Financial Statements. When we do not own a controlling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income (loss) (net) in our Consolidated Statements of Income, and our interest in these Affiliates is reported in Equity method investments in Affiliates (net) in our Consolidated Balance Sheets.</w:t>
      </w:r>
    </w:p>
    <w:p>
      <w:pPr>
        <w:spacing w:after="0" w:line="9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Whether we consolidate an Affiliate’s financial results or use the equity method of accounting, we maintain the same partnership approach and provide support and assistance in substantially the same manner for all of our Affiliates. From time to time, we may restructure our interest in an Affiliate to better support the Affiliate’s growth strategy.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Affiliates compete with a large number of domestic and foreign investment management firms, as well as with subsidiaries of larger financial organizations. These firms may have significantly greater financial, technological and marketing resources, captive distribution and assets under management, and many of these firms offer an even broader array of products and services in particular investment strategies. Certain of our Affiliates offer their investment management services to the same client types and, from time to time, may compete with each other for clients. In addition, there are relatively few barriers to entry for new investment management firms, especially for those looking to provide investment management services to institutional and high net worth investors. We believe that the most important factors affecting our Affiliates’ ability to compete for clients are the: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performance track records, investment styles, discipline, and reputations of our Affiliates and their management teams;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depth and continuity of our and our Affiliates’ client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diversity of our Affiliates’ products and level of client service offered by us and our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strong business relationships by us and our Affiliates with major intermediaries;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either organically or through new investments, of investment strategies to meet the changing needs and risk tolerances of investors;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success of our Affiliates’ distribution efforts;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investor preferences, such as the continued growth in passively-managed products.</w:t>
      </w:r>
    </w:p>
    <w:p>
      <w:pPr>
        <w:spacing w:after="0" w:line="14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relative importance of each of these factors can vary depending on client type and the investment management service involved, as well as general market conditions. The ability to compete with other investment management firms also depends, in part, on the relative attractiveness of our Affiliates’ active, return-oriented strategies, market trends, fees or a combination of these factors.</w:t>
      </w:r>
    </w:p>
    <w:p>
      <w:pPr>
        <w:spacing w:after="0" w:line="23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compete with a number of acquirers of and investors in boutique investment management firms, including other investment management companies, private equity firms, sovereign wealth funds and larger financial organizations. We believe that the most important factors affecting our ability to compete for future investments are the:</w:t>
      </w:r>
    </w:p>
    <w:p>
      <w:pPr>
        <w:spacing w:after="0" w:line="10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depth of our relationships with boutique investment management firms;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degree to which target firms view our investment model as more stable because of our succession planning capabilities;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price, equity incentive structures, and access to economies of scale that we offer (financially, operationally or otherwise) as compared to acquisition or investment arrangements offered by others;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and performance of our Affiliates, by which target firms may judge us and our future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 These regulations are primarily intended to protect the clients of investment advisers and generally grant regulatory authorities broad administrative powers.</w:t>
      </w:r>
    </w:p>
    <w:p>
      <w:pPr>
        <w:spacing w:after="0" w:line="15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are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funds in the U.S. and in other jurisdictions, and are subject to regulatory requirements in the jurisdictions where those funds are sponsored or offered, including, with respect to mutual funds, the Investment Company Act of 1940, as amended (the “Investment Company Act”). The Investment Company Act governs the operations of mutual funds and imposes obligations on their advisers, including investment restrictions and other governance, compliance, reporting and fiduciary obligations relating to the management of mutual funds.</w:t>
      </w:r>
    </w:p>
    <w:p>
      <w:pPr>
        <w:spacing w:after="0" w:line="166"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 Through our global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 platform, we also engage in sales and marketing activities that extend the reach of our Affiliates’ own business development efforts, and which are subject to regulation in numerous jurisdictions. Our U.S. retail distribution subsidiary is registered with the SEC under the Advisers Act. This subsidiary sponsors mutual funds registered under the Investment Company Act, and serves as an investment adviser and/or administrator for the AMG Funds complex. In the UK, our global distribution subsidiary is regulated by the FCA and serves as the promoter for our Irish UCITS platform, which sponsors UCITS funds managed by Affiliates and marketed in Europe. We also have global distribution subsidiaries or branches of subsidiaries regulated by the Swiss Financial Market Supervisory Authority, the Dubai Financial Services Authority, the Securities and Futures Commission in Hong Kong, and the Australian Securities and Investments Commission.</w:t>
      </w:r>
    </w:p>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Certain of our Affiliates and our U.S. retail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(“DOL”) administers ERISA and regulates investment advisers who service retirement plan clients, and has been increasingly active in proposing and adopting additional regulations applicable to the asset management industry. Certain of our Affiliates and our U.S. retail distribution subsidiary are also members of the National Futures Association and are regulated by the U.S. Commodity Futures Trading Commission (“CFTC”) with respect to the management of funds and other products that utilize futures, swaps or other CFTC-regulated instruments.</w:t>
      </w:r>
    </w:p>
    <w:p>
      <w:pPr>
        <w:spacing w:after="0" w:line="18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addition, certain of our Affiliates and our U.S. retail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global distribution subsidiaries may also be subject to other regulatory capital requirements imposed by non-U.S. regulatory authorities.</w:t>
      </w:r>
    </w:p>
    <w:p>
      <w:pPr>
        <w:spacing w:after="0" w:line="178" w:lineRule="exact"/>
        <w:rPr>
          <w:sz w:val="20"/>
          <w:szCs w:val="20"/>
          <w:color w:val="auto"/>
        </w:rPr>
      </w:pPr>
    </w:p>
    <w:p>
      <w:pPr>
        <w:ind w:right="320" w:firstLine="324"/>
        <w:spacing w:after="0" w:line="297" w:lineRule="auto"/>
        <w:rPr>
          <w:sz w:val="20"/>
          <w:szCs w:val="20"/>
          <w:color w:val="auto"/>
        </w:rPr>
      </w:pPr>
      <w:r>
        <w:rPr>
          <w:rFonts w:ascii="Arial" w:cs="Arial" w:eastAsia="Arial" w:hAnsi="Arial"/>
          <w:sz w:val="16"/>
          <w:szCs w:val="16"/>
          <w:color w:val="auto"/>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Corporate Organization</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we had approximately 4,450 employees, the substantial majority of which were employed full-time by our Affiliates. Neither we nor our Affiliates are subject to any collective bargaining agreements, and we believe that our and our Affiliates’ labor relations are good. We were formed in 1993 as a corporation under the laws of the State of Delaware.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28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www.amg.com</w:t>
      </w:r>
      <w:r>
        <w:rPr>
          <w:rFonts w:ascii="Arial" w:cs="Arial" w:eastAsia="Arial" w:hAnsi="Arial"/>
          <w:sz w:val="17"/>
          <w:szCs w:val="17"/>
          <w:color w:val="auto"/>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 furnishing of them to, the SEC. The information contained or incorporated on our website is not a part of this Annual Report on Form 10-K.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We and our Affiliates face a variety of risks that are substantial and inherent in our businesses, including those related to markets, liquidity, credit, operational, legal and regulatory risks. The following are some of the more important factors that could affect our and our Affiliates’ businesses. Certain statements in “Risk Factors” are forward-looking statements. See “Forward-Looking Statements.”</w:t>
      </w:r>
    </w:p>
    <w:p>
      <w:pPr>
        <w:spacing w:after="0" w:line="23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financial results depend on our Affiliates’ receipt of asset and performance based fees, and are impacted by investment performance, as well as changes in fee levels, product mix and the relative levels of assets under management among our Affiliates.</w:t>
      </w:r>
    </w:p>
    <w:p>
      <w:pPr>
        <w:spacing w:after="0" w:line="20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financial results depend on our Affiliates’ receipt of asset and performance based fees. Asset based fees are primarily based on a percentage of the value of assets under management, and vary with the nature of the account or product managed. In certain instances, our Affiliates are paid fees based on investment performance on an absolute basis or relative to a benchmark and, as such, are dependent upon investment results that may vary substantially from year to year.</w:t>
      </w:r>
    </w:p>
    <w:p>
      <w:pPr>
        <w:spacing w:after="0" w:line="24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Affiliates’ ability to maintain current fee levels depends on a number of factors, including our Affiliates’ investment performance, as well as competition and trends in the asset management industry, including recent fee pressure, driven in part by investor demand for passively-managed products that typically carry lower fee rates. In addition, in the ordinary course of business, our Affiliates may reduce or waive fees on certain products for particular time periods, to attract or retain managed assets or for other reasons. Further, different types of assets under management can generate different ratios of asset based fees to assets under management (“asset 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 based fees include a high-watermark provision, which generally provides that if a product underperforms on an absolute basis or relative to its benchmark, it must regain such underperformance before the Affiliate will earn any performance based fees. No assurances can be given that our Affiliates will be able to maintain current fee structures or levels. A reduction in the asset or performance based fees that our Affiliates receive could have an adverse impact on our financial condition and results of operations.</w:t>
      </w:r>
    </w:p>
    <w:p>
      <w:pPr>
        <w:spacing w:after="0" w:line="23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Further, certain Affiliates contribute significantly to our results and, therefore, changes in fee levels, product mix, assets under management or investment performance of such Affiliates could have a disproportionate adverse impact on our financial condition and results of operations.</w:t>
      </w:r>
    </w:p>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financial results could be adversely affected by any reduction in our assets under management, which could reduce the asset and performance based fees earned by our Affiliates.</w:t>
      </w:r>
    </w:p>
    <w:p>
      <w:pPr>
        <w:spacing w:after="0" w:line="2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earnings depend on our Affiliates’ receipt of asset and performance based fees and may be impacted by changes in the total level of our assets under management. The total level of our assets under management generally or with particular products or Affiliates could be adversely affected by conditions outside of our control, including:</w:t>
      </w:r>
    </w:p>
    <w:p>
      <w:pPr>
        <w:spacing w:after="0" w:line="235" w:lineRule="exact"/>
        <w:rPr>
          <w:sz w:val="20"/>
          <w:szCs w:val="20"/>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market value of our assets under management, including due to declines in the capital markets, fluctuations in exchange and interest rates, inflation rates or the yield curve, and other market factors;</w:t>
      </w:r>
    </w:p>
    <w:p>
      <w:pPr>
        <w:spacing w:after="0" w:line="22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investor risk tolerance or investment preferences, such as the continued growth in passively-managed products, which could result in investor allocations away from active, return-oriented strategies offered by us or our Affiliates;</w:t>
      </w:r>
    </w:p>
    <w:p>
      <w:pPr>
        <w:spacing w:after="0" w:line="224"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Affiliates’ ability to attract and retain client assets and market products and services, which may be impacted by the investment performance of our Affiliates’ products, our Affiliates’ ability to maintain and develop client relationships and to adapt to trends in product and service offerings, and volatility in the capital markets or in the prices of securities generally;</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conditions, which may be exacerbated by changes in the equity or debt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crises, political or diplomatic developments, war, terrorism or natural disasters; and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that are difficult to predict.</w:t>
      </w:r>
    </w:p>
    <w:p>
      <w:pPr>
        <w:spacing w:after="0" w:line="2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 reduction in our assets under management could adversely affect the asset and performance based fees payable to our Affiliates and, ultimately,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w:t>
      </w:r>
    </w:p>
    <w:p>
      <w:pPr>
        <w:spacing w:after="0" w:line="14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Affiliates compete with a broad range of domestic and foreign investment management firms, including public, private and client-owned investment advisers, firms managing passively-managed products, as well as other firms managing active, return-oriented strategies,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offer an even broader array of products and services in particular investment strategies. Competition from these firms may reduce the fees that our Affiliates can obtain for investment management services, or could impair our Affiliates’ ability to attract and retain client assets. We believe that our Affiliates’ ability to compete effectively with other firms depends upon our Affiliates’ strategies, investment performance, reputations, client relationships, fee structures, client-servicing capabilities, and the marketing and distribution of their investment strategies, among other factors. See “Competition” in Item 1. Our Affiliates may not compare favorably with their competitors in any or all of these categories. From time to time, our Affiliates may also compete with each other for clients. Our Affiliates represent a diverse group of boutique investment management firms with predominantly active, return-oriented strategies, rather than passively-managed products, which typically carry lower fee rates. Changes in investor risk tolerance or investment preferences, such as the continued growth in passively-managed products, could result in investor allocation away from active, return-oriented strategies.</w:t>
      </w:r>
    </w:p>
    <w:p>
      <w:pPr>
        <w:spacing w:after="0" w:line="22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market for acquisitions of interests in boutique investment management firms is highly competitive. Many other public and private financial services companies, including commercial and investment banks, private equity firms, sovereign wealth funds, insurance companies and investment management firms, also invest in or buy boutique investment management firms and may have significantly greater resources than we do. Further, our innovative partnership approach with our Affiliates is designed to provide succession planning and enhanced incentives for management owners, while enabling us to protect our interests, including through structured partnership interests and long-term employment agreements with key members of the firm. Target investment management firms may prefer investments in their firms under terms and structures offered by our competitors. We cannot guarantee that we will be able to compete effectively with such companies, that new competitors will not enter the market, or that such competitors will not make it more difficult or not feasible for us to maintain existing investments or to make new investments in boutique investment management firms.</w:t>
      </w: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growth strategy depends in part upon our ability to make investments in new boutique investment management firms or additional investments in our existing Affiliates.</w:t>
      </w:r>
    </w:p>
    <w:p>
      <w:pPr>
        <w:spacing w:after="0" w:line="2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continued success in investing in boutique investment management firms will depend upon our ability to find suitable firms in which to invest or make additional investments in our existing Affiliates, our ability to negotiate agreements with such firms on acceptable terms, and our ability to raise the capital necessary to finance such transactions. Further, the success of these investments depends on our and our Affiliates’ ability to grow their businesses and carry out their management succession plans. In addition, our investments involve a number of risks, including the existence of unknown liabilities that may arise after making an investment. We may not be successful in making investments in such firms, and any firms we do invest in may not have favorable operating results following our investment, which could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markets and our common stock have been volatile.</w:t>
      </w:r>
    </w:p>
    <w:p>
      <w:pPr>
        <w:spacing w:after="0" w:line="2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market price of our common stock has experienced and may continue to experience volatility, and the broader equity markets have experienced and may continue to experience significant price and volume fluctuations. In addition, announcements of our financial and operating results or other material information, including changes in net client cash flows and assets under management, changes in our financial guidance or our failure to meet such guidance, changes in general conditions in the economy or the financial markets, and other developments affecting us, our Affiliates or our competitors, as well as geopolitical, regulatory, economic, and business factors unrelated to us, could cause the market price of our common stock to fluctuate substantially.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or our Affiliates’ reputations are harmed, we could suffer losses in our business and financial results.</w:t>
      </w:r>
    </w:p>
    <w:p>
      <w:pPr>
        <w:spacing w:after="0" w:line="27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For example, alleged or actual failures by us, our Affiliates or our respective employees to comply with applicable laws, rules or regulations, errors in our public reports, perceptions of our or our Affiliates’ environmental, social and governance practices, threatened or actual litigation against us, any of our Affiliates or our respective employees, cyber-attack or data breach incidents, or the public announcement and potential publicity surrounding any of these events, even if inaccurate, satisfactorily addressed, or if no violation or wrongdoing actually occurred, could adversely impact our or our Affiliates’ reputations and their relationships with clients, our relationships with our Affiliates, and our ability to negotiate agreements with new boutique investment management firms, any of which could have an adverse effect on our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our Affiliates’ businesses are highly regulated.</w:t>
      </w:r>
    </w:p>
    <w:p>
      <w:pPr>
        <w:spacing w:after="0" w:line="2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and our Affiliates’ businesses are subject to complex and extensive regulation by regulatory and self-regulatory authorities and exchanges in various jurisdictions around the world, which, for our Affiliates and our U.S. retail distribution subsidiary, include those applicable to investment advisers, as detailed in “Government Regulation” in Item 1. Applicable laws, rules and regulations impose requirements, restrictions and limitations on our and our Affiliates’ businesses, and compliance with these laws, rules and regulations can result in significant expense.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any of which could have an adverse impact on our stock price, financial condition and results of operations. Further, if we, any of our Affiliates or our respective employees were to fail to comply with applicable laws, rules or regulations or be named as a subject of an investigation or other regulatory action, the public announcement and potential publicity surrounding any such investigation or action could have an adverse effect on our stock price and result in increased costs, even if we, our Affiliates or our respective employees were found not to have violated such laws, rules or regulations.</w:t>
      </w:r>
    </w:p>
    <w:p>
      <w:pPr>
        <w:spacing w:after="0" w:line="22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Recently implemented and proposed regulations globally have called for more stringent oversight of the financial services industry in which we and our Affiliates operate, which could adversely affect our and our Affiliates’ businesses, increase compliance costs, require that we or our Affiliates curtail operations or investment offerings, or impact our and our Affiliates’ access to capital and the market for our common stock. In the U.S., the SEC recently adopted regulations that created additional reporting requirements for advisers and mutual funds, and adopted Rule 22e-4 under the Investment Company Act that added compliance obligations for mutual funds in the area of liquidity management. Further, in 2018, the SEC proposed Regulation Best Interest, which would enhance the conduct standards applicable to broker-dealers when making investment recommendations and could impact the ability of broker-dealers and other intermediaries to distribute our and our Affiliates’ products. In addition, the SEC released proposed guidance on the fiduciary standard for advisers that could alter the requirements for advisers. In the European Union, regulators continue to consider whether asset managers or funds, or certain asset management products or activities, should be designated as “systemically important” and, therefore, subject to additional regulation. The European Union has also instituted the revised Markets in Financial Instruments Directive (“MiFID II”), effective beginning in January 2018, which requires the unbundling of research and execution charges for trading and which may result in increased costs for us and our Affiliates. We and certain of our Affiliates are also subject to the European Union’s new General Data Protection Regulation, which expanded data protection rules for individuals within the European Union and for personal data exported outside the European Union. Our and our Affiliates’ businesses may also be impacted by regulatory and other developments relating to the UK’s planned exit from the European Union, which could impact our or our Affiliates’ ability to conduct operations pursuant to a European passport and could require us or certain of our Affiliates to apply for regulatory authorization and permission in a separate European Union member state. The process and terms of the UK’s exit from the European Union could also lead to legal uncertainty and potentially divergent national laws and regulations in the UK that could introduce additional complexities to our and our Affiliates’ global operations, any of which could limit our and our Affiliates’ businesses, result in increased compliance costs and expenses, and expose us and our Affiliates to potential fines and penalties. Further, in recent years, regulators in the U.S., the UK and other jurisdictions have expanded rules and devoted greater resources and attention to the enforcement of anti-bribery and anti-money laundering laws, and while we and our</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Affiliates have developed and implemented policies and procedures designed to ensure compliance with these rules, such policies and procedures may not be effective in all instances to prevent violations.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and our Affiliates’ international operations are subject to foreign risks, including political, regulatory, economic and currency risks.</w:t>
      </w:r>
    </w:p>
    <w:p>
      <w:pPr>
        <w:spacing w:after="0" w:line="1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and certain of our Affiliates conduct business outside the U.S., and a number of our Affiliates are based outside the U.S. Accordingly, we and certain of our Affiliates are subject to risks inherent in doing business internationally, in addition to the risks that our businesses face more generally. These risks may include difficulties in staffing and managing foreign operations, longer payment cycles, difficulties in collecting investment advisory fees receivable, different (and in some cases less stringent) legal, regulatory and accounting regimes, political instability, exposure to fluctuations in currency exchange rates, expatriation controls, expropriation risks and potential adverse tax consequences. For example, our and our Affiliates’ businesses may be impacted by the terms of the UK’s exit from the European Union, which could result in fluctuations in exchange rates, disruptions in the capital markets, changes in investor risk tolerance or investment preferences, increased compliance and administrative costs, or other impacts. As part of our and certain of our Affiliates’ planning for the UK’s exit from the European Union, we and such Affiliates have implemented a number of steps to prepare for the various potential outcomes, including plans to establish distribution offices in separate European Union member states and applying for additional licenses and permissions. While we do not expect the UK’s exit from the European Union to have a significant impact on the way we or our Affiliates operate, these plans and developments could result in increases to our and such Affiliates’ compliance and administrative costs. In addition, as a result of operating internationally, certain of our Affiliates and our global distribution subsidiaries are subject to requirements under foreign regulations to maintain minimum levels of capital, and such capital requirements may be increased from time to time, which may have the effect of limiting withdrawals of capital, repayment of intercompany loans and payment of distributions to us. These or other risks related to our and our Affiliates’ international operations may have an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tax laws or exposure to additional tax liabilities could have an adverse impact on our business, financial condition and results of operations.</w:t>
      </w:r>
    </w:p>
    <w:p>
      <w:pPr>
        <w:spacing w:after="0" w:line="31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are subject to income taxes as well as non-income-based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in countries with differing statutory tax rates, changes to our or their existing businesses, and changes in relevant tax, accounting or other laws, regulations, administrative practices and interpretations. For example, in December 2017, changes in U.S. tax laws were enacted, which significantly revised the U.S. corporate income tax laws. Although the impact of these changes was beneficial to our results of operations, primarily due to lower U.S. tax rates, portions of the regulations have not yet been finalized, and the U.S. Treasury, as well as federal and state tax authorities, could issue further rules, interpretations and guidance, the timing and substance of which are uncertain. This legislation could also be subject to potential amendments and technical corrections, which could have retroactive effect. Further, a portion of our earnings are from outside of the U.S., and the foreign government agencies in jurisdictions in which we do business continue to focus on the taxation of multinational companies, and could implement changes to their tax laws. For example, changes in the tax laws of foreign jurisdictions could arise as a result of the base erosion and profit shifting (“BEPS”) project undertaken by the Organization for Economic Co-operation and Development (OECD), which includes recommendations that may be adopted in various jurisdictions in which we and our Affiliates do business. Any changes to federal, state or foreign tax laws, regulations, accounting standards or administrative practices, or the release of additional guidance, interpretations or other information relating to the recent U.S. tax legislation or otherwise,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31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 additional taxes and/or penalties and interest. There can be no assurance that we will accurately predict the outcomes of any examinations and the actual outcomes could have an adverse impact on our financial condition and results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Affiliates’ autonomy limits our ability to alter their management practices and policies, and we may be held responsible for liabilities incurred by certain of our Affiliates.</w:t>
      </w:r>
    </w:p>
    <w:p>
      <w:pPr>
        <w:spacing w:after="0" w:line="22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operating agreements with our Affiliates provide for governance structures that give Affiliate management the authority to manage and operate their businesses on a day-to-day basis, and we generally are not directly involved in managing those activities, including investment management operations, fee levels, marketing, product development, client relationships, employee matters, compensation programs and compliance activities. As a consequence, our financial condition and results of operations may be adversely affected by problems stemming from the day-to-day operations of our Affiliates,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spacing w:after="0" w:line="23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Certain of our Affiliates are limited liability companies or limited partnerships (or equivalent non-U.S. forms) of which we, or entities controlled by us, are the managing member or general partner (or equivalent).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retail distribution subsidiary and our global distribution subsidiaries, to extend the reach of our Affiliates’ own business development efforts, and any liability arising in connection with these activities, whether as a result of our own actions or the actions of our participating Affiliates,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 judgment in excess of available insurance coverage could have an adverse effect on our financial condition and results of operations.</w:t>
      </w:r>
    </w:p>
    <w:p>
      <w:pPr>
        <w:spacing w:after="0" w:line="2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and our Affiliates may be involved in legal proceedings and regulatory matters from time to time, any one or combination of which could have an adverse effect on our reputation, financial condition and results of operations.</w:t>
      </w:r>
    </w:p>
    <w:p>
      <w:pPr>
        <w:spacing w:after="0" w:line="2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From time to time in the ordinary course of business, we and our Affiliates may be subject to various legal matters, including litigation, regulatory inquiries and administrative proceedings, which could, whether with or without merit, be time consuming and expensive to defend and could divert management attention and resources. While we and our Affiliates maintain insurance in amounts believed to be adequate to cover potential liabilities, we cannot be certain that we or our Affiliates will not have claims or related expenses that exceed the limits of available insurance coverage or that such coverage will continue to be available with sufficient limits and at a reasonable cost. The public announcement and potential publicity surrounding any legal proceedings or regulatory matters, as well as any judgments, findings, settlements or allegations of wrongdoing, could adversely affect our or their reputation, current and future business relationships, financial condition and results of operations.</w:t>
      </w:r>
    </w:p>
    <w:p>
      <w:pPr>
        <w:spacing w:after="0" w:line="23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structure of our partnership interests in our Affiliates may expose us to unanticipated changes in Affiliate revenue, operating expenses and other commitments, which we may not anticipate and may have limited ability to control.</w:t>
      </w:r>
    </w:p>
    <w:p>
      <w:pPr>
        <w:spacing w:after="0" w:line="2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while using the remainder of its revenue for operating expenses and for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w:t>
      </w:r>
    </w:p>
    <w:p>
      <w:pPr>
        <w:spacing w:after="0" w:line="11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exposure to expenses from these structured partnership interests varies by Affiliate and includes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w:t>
      </w:r>
    </w:p>
    <w:p>
      <w:pPr>
        <w:spacing w:after="0" w:line="10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w:t>
      </w:r>
    </w:p>
    <w:p>
      <w:pPr>
        <w:spacing w:after="0" w:line="24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Additionally, regardless of the particular structure, we may elect to defer or forgo the receipt of our share of an Affiliate’s revenue or earnings, or to adjust any agreed-upon expenses allocated to us, to permit the Affiliate to fund expenses in light of unanticipated changes in revenue or operating expenses, with the aim of maximizing the long-term benefits. We cannot be certain that any such deferral or forbearance would be of any greater long-term benefit to us, and such a deferral or forbearance may have an adverse effect on our near- or long-term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restructure our relationships with our Affiliates, and cannot be certain that any such restructurings will benefit us in the near- or long-term.</w:t>
      </w:r>
    </w:p>
    <w:p>
      <w:pPr>
        <w:spacing w:after="0" w:line="302"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From time to time, we may restructure our relationships with our Affiliates, which could, among other things, include changes to our structured partnership interests, including changes in our ownership level and in the calculation of our share of revenue and/or operating expenses. Such restructurings may be done in order to address an Affiliate’s succession planning, changes in its revenue or operating expense base, strategic planning or other developments. Any restructuring of our interest in an Affiliate may result in increased exposure to changes in the Affiliate’s revenue and/or operating expenses, or in additional investments or commitments from us, or could increase or reduce our interest in the Affiliate, which in some cases could result in the full divestment of our interest or in our acquisition of all of the equity interests of the Affiliate. In addition, certain of our equity method Affiliates have customary rights in certain circumstances to sell a majority interest in their firm to a third-party and to cause us to participate in such sale. Any such changes could have an adverse impact on our financial condition and results of operations.</w:t>
      </w:r>
    </w:p>
    <w:p>
      <w:pPr>
        <w:spacing w:after="0" w:line="2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financial condition and results of operations.</w:t>
      </w:r>
    </w:p>
    <w:p>
      <w:pPr>
        <w:spacing w:after="0" w:line="22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As of December 31, 2018, our total assets were $8.2 billion, of which $3.9 billion were intangibles, and $2.8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losses of investment management contracts or declines in the value of managed assets.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judgment. For additional information, see Notes 12 and 13 of the Consolidated Financial Statements, as well as the related discussions in the Critical Accounting Estimates and Judgments section contained elsewhere in this Annual Report on Form 10-K.</w:t>
      </w:r>
    </w:p>
    <w:p>
      <w:pPr>
        <w:spacing w:after="0" w:line="2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failure to consummate announced investments in new boutique investment management firms could have an adverse effect on our financial condition and results of operations.</w:t>
      </w:r>
    </w:p>
    <w:p>
      <w:pPr>
        <w:spacing w:after="0" w:line="22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consummation of our announced investments is generally subject to a number of closing conditions, contingencies and approvals, including, but not limited to, obtaining certain consents of the boutique investment management firm’s clients and applicable regulatory approvals. In the event that an announced transaction is not consummated, we may experience a decline in the price of our common stock to the extent that the then-current market price reflects a market assumption that we will complete the announced transaction. In addition, the fact that a transaction did not close after we announced it publicly may negatively affect our prospects and our ability to consummate transactions in the future. Finally, we must pay costs related to these investments, including transaction fees, even if the investments are not completed, which may have an adverse effect on our financial condition and results of operations.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expect that we will need to raise additional capital in the future, and existing or future resources may not be available to us in sufficient amounts or on acceptable terms.</w:t>
      </w:r>
    </w:p>
    <w:p>
      <w:pPr>
        <w:spacing w:after="0" w:line="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While we believe that our existing cash resources and cash flow from operations will be sufficient to meet our working capital needs for normal operations for the foreseeable future, our continuing acquisitions of interests in new boutique investment management firms and additional investments in our existing Affiliates may require additional capital. Further, we have significant repurchase obligations relating to Affiliate equity interests, and because these obligations are conditional and dependent upon the individual equity holder’s decision to sell his or her equity, it is difficult to predict the frequency and magnitude of these repurchases (our Redeemable non-controlling interests on our Consolidated Balance Sheets as of December 31, 2018 was $833.7 million, which includes $91.0 million of Affiliate sponsored consolidated products primarily attributable to third-party investors). We may also call all or a portion of these equity interests upon, among other events, the termination of an equity holder’s employment, although these rights may be limited or suspended in certain circumstances. We also have committed to co-invest in certain investment partnerships, which may be called in future periods. See Notes 10, 19 and 20 of the Consolidated Financial Statements for additional information.</w:t>
      </w:r>
    </w:p>
    <w:p>
      <w:pPr>
        <w:spacing w:after="0" w:line="18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These obligations may require more cash than is then available from our existing cash resources and cash flow from operations. Thus, we may need to raise capital through additional borrowings or by selling shares of our common stock or other equity or debt securities, or otherwise refinance a portion of these obligations.</w:t>
      </w:r>
    </w:p>
    <w:p>
      <w:pPr>
        <w:spacing w:after="0" w:line="100"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As of December 31, 2018, we had outstanding senior debt and convertible securities of $2.0 billion. Our level of indebtedness may increase if we fund future investments or other expenses through borrowings. Any additional indebtedness could increase our vulnerability to general adverse economic and industry conditions and may require us to dedicate a greater portion of our cash flow from operations to payments on our indebtedness.</w:t>
      </w:r>
    </w:p>
    <w:p>
      <w:pPr>
        <w:spacing w:after="0" w:line="20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 spreads and our credit ratings. We are rated A3 by Moody’s Investors Service and A- by S&amp;P Global Ratings. The rating agencies could decide to modify their outlook or downgrade our ratings or the ratings of the entire investment management industry, thereby making it difficult for us to access the capital markets. A reduction in our credit ratings could increase our borrowing costs under our credit facilities. Such a reduction could also require us to post additional collateral or, in certain cases, give rise to a termination right by the counterparty under our derivative financial instruments. Further, our variable rate indebtedness may use the London Interbank Offered Rate (“LIBOR”) as a benchmark for establishing the applicable interest rate. LIBOR is the subject of recent national, international and other regulatory guidance and proposals for reform. These reforms and other pressures may cause LIBOR to disappear entirely or to perform differently than in the past, and although we have included contractual provisions in our credit facilities that anticipate these potential changes, the consequences cannot be entirely predicted and could result in an increase in the cost of our variable rate indebtedness.</w:t>
      </w:r>
    </w:p>
    <w:p>
      <w:pPr>
        <w:spacing w:after="0" w:line="23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credit facilities require us to maintain specified financial ratios, including a maximum leverage ratio and a minimum interest coverage ratio, and also contain customary affirmative operating covenants and negative covenants that, among other things, place certain limitations on our and our subsidiaries’ ability to incur debt, merge or transfer assets and on our ability to create liens. The indentures governing our senior notes also contain restrictions on our ability to merge or transfer assets and on our ability to create liens. The breach of any covenant (either due to our actions or omissions or, in the case of financial covenants, due to a significant and prolonged market driven decline in our operating results) could result in a default under the applicable debt agreement. In the event of any such default, lenders that are party to our credit facilities could refuse to make further extensions of credit to us. Further, in the event of certain defaults, amounts borrowed under our credit facilities and/or outstanding under our senior notes, together with accrued interest and other fees, could become immediately due and payable. If any indebtedness under our credit facilities or the indentures governing our senior notes were to become subject to accelerated repayment, we may not have sufficient liquid assets to repay such indebtedness in full.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 activities may adversely affect our liquidity and results of operations.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From time to time, we and our Affiliates seek to offset exposure to changes in interest rates, foreign currency exchange rates and markets by entering into derivative financial instruments. For example, during 2018, we entered into two separate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pound sterling-denominated forward foreign currency contracts, as well as two separate collar contracts with the same counterparty for the same notional amounts and expiration dates as each of the forward contracts, which were designated as net investment hedges against fluctuations in exchange rates on certain of our investments in Affiliates with the pound sterling as their functional currency. See Note 9 of the Consolidated Financial Statements for additional information. The scope of these risk management activities is selective and varies based on the level and volatility of interest rates, prevailing foreign currency exchange rates and other changing market conditions. We and our Affiliates do not seek to hedge exposure in all currencies or all investments, which means that exposure to certain market risks is not limited. Further, the use of derivative financial instruments does not entirely eliminate the possibility of 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7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depend on the efforts of our executive officers and our other officers and employees. Our executive officers, in particular, play an important role in the stability and growth of our existing Affiliates and in identifying potential investment opportunities. We generally do not have employment agreements with our executive officers, although each has a significant deferred equity interest in the Company and is subject to non-solicitation and non-competition restrictions that may be triggered upon their departure. While we have succession plans in place for members of our executive and senior management team, there is no guarantee that these officers will remain with the Company. Changes in our management team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spacing w:after="0" w:line="23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personnel, there is no guarantee that these principals will remain with their firms. Since certain of our Affiliates contribute significantly to our revenue, the loss of key personnel at these Affiliates could have a disproportionately adverse impact on our business,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contracts are subject to termination on short notice.</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Through our Affiliates, we derive almost all of our asset and performance 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clients terminate their investment management contracts or withdraw a substantial amount of managed assets, it is likely to harm our results of operations. In addition, investment management contracts with mutual funds or other retail products are subject to annual approval by the fund’s board of directors.</w:t>
      </w:r>
    </w:p>
    <w:p>
      <w:pPr>
        <w:spacing w:after="0" w:line="1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or our Affiliates’ controls and procedures and risk management policies may be inadequate, fail or be circumvented, and operational risk could adversely affect our or our Affiliates’ reputation and financial position.</w:t>
      </w:r>
    </w:p>
    <w:p>
      <w:pPr>
        <w:spacing w:after="0" w:line="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third-party service providers, such third parties are subject to similar risks. We and our Affiliates, as well as our respective service providers, are also subject to the risk that employees or contractors, or other third parties, may deliberately seek to circumvent established controls to commit fraud or act in ways that are inconsistent with our or their controls, policies and procedures. The financial and reputational impact of control failures can be significant.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2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providers of technology infrastructure, and other service providers such as broker-dealers, custodians, administrators and other agents, and these parties are susceptible to similar risks.</w:t>
      </w:r>
    </w:p>
    <w:p>
      <w:pPr>
        <w:spacing w:after="0" w:line="21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Although we and our Affiliates take protective measures and endeavor to modify them as circumstances warrant, computer systems, software, networks and mobile devices may be vulnerable to cyber-attacks, data privacy or security breaches, ransomware, unauthorized access, theft, misuse, computer viruses or other malicious code and other events that could have a security impact. Further, although we and our Affiliates have systems and practices in place to monitor the third parties on whom we and our Affiliates rely, such third parties may have similar vulnerabilities and may lack the necessary 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The occurrence of any such events could also result in litigation or regulatory action.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we or our Affiliates may be subject to litigation, regulatory investigations and potential fines, and financial losses that are either not insured against fully or not fully covered through any insurance that we or our Affiliates maintain. Further, recent well-publicized security breaches at other companies have led to enhanced government and regulatory scrutiny of the measures taken by companies to protect against cyber-attacks and data privacy breaches, and have resulted in heightened security requirements, including additional regulatory expectations for oversight of vendors and service providers. For example, the European Union’s new General Data Protection Regulation became effective in May 2018, and similar regulations are being considered in other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organizational documents, Delaware law and other factors could delay or prevent a change in control of the Company.</w:t>
      </w:r>
    </w:p>
    <w:p>
      <w:pPr>
        <w:spacing w:after="0" w:line="156"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Provisions in our charter and by-laws that could delay or prevent an unsolicited change in control include:</w:t>
      </w:r>
    </w:p>
    <w:p>
      <w:pPr>
        <w:spacing w:after="0" w:line="66" w:lineRule="exact"/>
        <w:rPr>
          <w:sz w:val="20"/>
          <w:szCs w:val="20"/>
          <w:color w:val="auto"/>
        </w:rPr>
      </w:pPr>
    </w:p>
    <w:p>
      <w:pPr>
        <w:ind w:left="660" w:right="6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to determine the terms, rights and preferences of the preferred stock without stockholder approval;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prohibition on the right of stockholders to call meetings or act by written consent and limitations on the right of stockholders to present proposals or make nominations at stockholder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Delaware law also imposes restrictions on mergers and other business combinations between us and any holder of 15 percent or more of our outstanding common stock. Further, given our long-term partnership approach with our Affiliates, which is designed to preserve their investment and operational autonomy and independence, a change in control may also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third-party may apply to us in a change in control.</w:t>
      </w:r>
    </w:p>
    <w:p>
      <w:pPr>
        <w:spacing w:after="0" w:line="173"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In addition, a change in control of the Company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 particular change in control transaction would not result in a termination or deemed assignment of our Affiliates’ management agreements or that any required consents (which the impacted Affiliates would need to be involved in requesting) would be obtained if such a change of control occurs.</w:t>
      </w:r>
    </w:p>
    <w:p>
      <w:pPr>
        <w:spacing w:after="0" w:line="18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These anti-takeover provisions and other factors may inhibit a change in control in circumstances that could give our stockholders the opportunity to realize a premium over the market price of our common stock, and may result in negative impacts on our financial results in periods following a change in control.</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sale or issuance of substantial amounts of our common stock, or the expectation that such sales or issuances will occur, could adversely impact the price of our common stock.</w:t>
      </w:r>
    </w:p>
    <w:p>
      <w:pPr>
        <w:spacing w:after="0" w:line="11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sale or issuance of substantial amounts of our common stock in the public market could adversely impact its price. In connection with our financing activities, we have issued securities and entered into contracts, including our junior convertible trust preferred securities and equity distribution program, that may result in the issuance of our common stock upon the occurrence of certain events. We also have exercisable options outstanding and unvested restricted stock that have been awarded under our share-based incentive plans. Additionally, we have the right to settle certain Affiliate equity repurchase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affected by the financial stability of other financial institutions.</w:t>
      </w:r>
    </w:p>
    <w:p>
      <w:pPr>
        <w:spacing w:after="0" w:line="17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and our Affiliates routinely execute transactions with various counterparties in the financial services industry. Historical and recent market volatility highlights the interconnection of the global markets and demonstrates how the deteriorating financial condition of one or more institutions may materially and adversely impact the performance of other institutions. We and our Affiliates may be exposed to credit, operational or other risk in the event that a counterparty with whom we or our Affiliates transact defaults on its obligations, or if there are other unrelated systemic failures in the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conduct our operations around the world using a combination of leased and owned facilities. While we believe we have suitable property resources currently, we will continue to evaluate our property needs and will adjust these resources as necessary.</w:t>
      </w:r>
    </w:p>
    <w:p>
      <w:pPr>
        <w:spacing w:after="0" w:line="8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principal offices are located at 777 South Flagler Drive, West Palm Beach, Florida; 600 Hale Street, Prides Crossing, Massachusetts; 35 Park Lane, London, England; and 600 Steamboat Road, Greenwich, Connecticut. We and our Affiliates also each lease office space in the city or cities in which we conduct business, as appropriate for our respective business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spacing w:after="0" w:line="22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81"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Our common stock is traded on the New York Stock Exchange (symbol: AMG). As of February 19, 2019, there were 14 stockholders of record</w:t>
      </w:r>
      <w:r>
        <w:rPr>
          <w:rFonts w:ascii="Arial" w:cs="Arial" w:eastAsia="Arial" w:hAnsi="Arial"/>
          <w:sz w:val="19"/>
          <w:szCs w:val="19"/>
          <w:color w:val="auto"/>
        </w:rPr>
        <w:t>,</w:t>
      </w:r>
      <w:r>
        <w:rPr>
          <w:rFonts w:ascii="Arial" w:cs="Arial" w:eastAsia="Arial" w:hAnsi="Arial"/>
          <w:sz w:val="18"/>
          <w:szCs w:val="18"/>
          <w:color w:val="auto"/>
        </w:rPr>
        <w:t xml:space="preserve"> including banks, brokers and other financial institutions holding shares in omnibus accounts for their customers (in total representing substantially all of the beneficial holders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2"/>
                <w:szCs w:val="12"/>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Outstanding Plans or</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Shares Purchased</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1-31, 2018</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2,509,344</w:t>
            </w:r>
          </w:p>
        </w:tc>
        <w:tc>
          <w:tcPr>
            <w:tcW w:w="0" w:type="dxa"/>
            <w:vAlign w:val="bottom"/>
          </w:tcPr>
          <w:p>
            <w:pPr>
              <w:spacing w:after="0"/>
              <w:rPr>
                <w:sz w:val="1"/>
                <w:szCs w:val="1"/>
                <w:color w:val="auto"/>
              </w:rPr>
            </w:pP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November 1-30, 2018</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0"/>
              <w:spacing w:after="0"/>
              <w:rPr>
                <w:sz w:val="20"/>
                <w:szCs w:val="20"/>
                <w:color w:val="auto"/>
              </w:rPr>
            </w:pPr>
            <w:r>
              <w:rPr>
                <w:rFonts w:ascii="Arial" w:cs="Arial" w:eastAsia="Arial" w:hAnsi="Arial"/>
                <w:sz w:val="18"/>
                <w:szCs w:val="18"/>
                <w:color w:val="auto"/>
              </w:rPr>
              <w:t>2,509,344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2018</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766,016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766,016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98.61</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1,743,328</w:t>
            </w:r>
          </w:p>
        </w:tc>
        <w:tc>
          <w:tcPr>
            <w:tcW w:w="0" w:type="dxa"/>
            <w:vAlign w:val="bottom"/>
          </w:tcPr>
          <w:p>
            <w:pPr>
              <w:spacing w:after="0"/>
              <w:rPr>
                <w:sz w:val="1"/>
                <w:szCs w:val="1"/>
                <w:color w:val="auto"/>
              </w:rPr>
            </w:pPr>
          </w:p>
        </w:tc>
      </w:tr>
      <w:tr>
        <w:trPr>
          <w:trHeight w:val="257"/>
        </w:trPr>
        <w:tc>
          <w:tcPr>
            <w:tcW w:w="29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766,016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766,016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w:t>
      </w:r>
    </w:p>
    <w:p>
      <w:pPr>
        <w:spacing w:after="0" w:line="276" w:lineRule="exact"/>
        <w:rPr>
          <w:sz w:val="20"/>
          <w:szCs w:val="20"/>
          <w:color w:val="auto"/>
        </w:rPr>
      </w:pPr>
    </w:p>
    <w:p>
      <w:pPr>
        <w:ind w:left="340" w:right="340" w:hanging="332"/>
        <w:spacing w:after="0" w:line="277"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8"/>
          <w:szCs w:val="18"/>
          <w:color w:val="auto"/>
        </w:rPr>
        <w:t>Includes shares surrendered, if any, to the Company to satisfy tax withholding and/or option exercise price obligations in connection with stock swap option exercise transactions.</w:t>
      </w:r>
    </w:p>
    <w:p>
      <w:pPr>
        <w:spacing w:after="0" w:line="224" w:lineRule="exact"/>
        <w:rPr>
          <w:rFonts w:ascii="Arial" w:cs="Arial" w:eastAsia="Arial" w:hAnsi="Arial"/>
          <w:sz w:val="18"/>
          <w:szCs w:val="18"/>
          <w:color w:val="auto"/>
          <w:vertAlign w:val="superscript"/>
        </w:rPr>
      </w:pPr>
    </w:p>
    <w:p>
      <w:pPr>
        <w:ind w:left="340" w:hanging="332"/>
        <w:spacing w:after="0" w:line="255"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8"/>
          <w:szCs w:val="18"/>
          <w:color w:val="auto"/>
        </w:rPr>
        <w:t>Our Board of Directors authorized share repurchase programs in January 2019, January 2018 and January 2017, authorizing us to repurchase up to 3.3 million, 3.4 million and 1.9 million shares of our common stock, respectively, and these authorizations have no expiry. Purchases may be made from time to time, at management’s discretion, in the open market or in privately negotiated transactions, including through the use of derivative financial instruments and accelerated share repurchase programs. As of December 31, 2018, we had repurchased all of the shares of the January 2017 authorized amount. As of the January 2019 authorization, there were a total of 5.0 million shares remaining available for repurchase under the January 2019 and January 2018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graph compares the cumulative stockholder return on our common stock from December 31, 2013 through December 31, 2018, with the cumulative total return, during the same period, on the Standard &amp; Poor’s 500 Index and a peer group comprising AllianceBernstein Holding L.P., Ameriprise Financial, Inc., BlackRock, Inc., Eaton Vance Corp., Franklin Resources, Inc., Invesco Ltd., Lazard Ltd., Legg Mason, Inc. and T. Rowe Price Group, Inc. (collectively, the “Peer Group”). The comparison below assumes the investment of $100 on December 31, 2013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163195</wp:posOffset>
            </wp:positionV>
            <wp:extent cx="5282565" cy="389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selected financial data for the last five years. This data should be read in conjunction with, and is qualified in its entirety by reference to, the Consolidated Financial Statements and accompanying notes included elsewhere in this Annual Report on Form 10-K.</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as noted and per share data)</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Performance Measures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736.0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 (in billions)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Aggregate fees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4,203.1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4,140.1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4,296.3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5,545.8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5,442.4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Performance Measures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2,510.9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2,484.5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2,194.6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2,305.0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2,378.4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4.52</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r>
      <w:tr>
        <w:trPr>
          <w:trHeight w:val="262"/>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Supplemental Financial Performance Measures</w:t>
            </w:r>
            <w:r>
              <w:rPr>
                <w:rFonts w:ascii="Arial" w:cs="Arial" w:eastAsia="Arial" w:hAnsi="Arial"/>
                <w:sz w:val="18"/>
                <w:szCs w:val="18"/>
                <w:b w:val="1"/>
                <w:bCs w:val="1"/>
                <w:color w:val="auto"/>
                <w:vertAlign w:val="superscript"/>
              </w:rPr>
              <w:t>(1)</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(controlling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1,116.2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Economic net income (controlling interest)</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780.7</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7,683.5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7,769.4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8,749.1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8,702.1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8,219.1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1,880.3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1,879.4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2,109.6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1,854.7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1,829.6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3,643.2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3,769.1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4,426.5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4,578.5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4,134.9</w:t>
            </w:r>
          </w:p>
        </w:tc>
      </w:tr>
      <w:tr>
        <w:trPr>
          <w:trHeight w:val="218"/>
        </w:trPr>
        <w:tc>
          <w:tcPr>
            <w:tcW w:w="640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73" w:lineRule="exact"/>
        <w:rPr>
          <w:sz w:val="20"/>
          <w:szCs w:val="20"/>
          <w:color w:val="auto"/>
        </w:rPr>
      </w:pPr>
    </w:p>
    <w:p>
      <w:pPr>
        <w:ind w:left="340" w:right="480" w:hanging="332"/>
        <w:spacing w:after="0" w:line="277"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8"/>
          <w:szCs w:val="18"/>
          <w:color w:val="auto"/>
        </w:rPr>
        <w:t>Adjusted EBITDA (controlling interest), Economic net income (controlling interest) and Economic earnings per share are non-GAAP performance measures and are discussed in “Supplemental Financial Performance Measures”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of Affiliated Managers Group, Inc. and its subsidiaries (collectively, the “Company”) should be read in conjunction with the “Forward-Looking Statements” section set forth in Part I and the “Risk Factors” section set forth in Item 1A of Part I of this Annual Report on Form 10-K and in any more recent filings with the SEC, each of which describes these risks, uncertainties and other important factors in more detail.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8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following executive overview summarizes the significant trends affecting our results of operations and financial condition. This overview and the remainder of this Management’s Discussion and Analysis of Financial Condition and Results of Operations should be read in conjunction with our Consolidated Financial Statements and the notes thereto contained elsewhere in this Annual Report on Form 10-K.</w:t>
      </w:r>
    </w:p>
    <w:p>
      <w:pPr>
        <w:spacing w:after="0" w:line="235"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We are a global asset management company with equity investments in leading boutique investment management firms, which we refer to as our “Affiliates.” Our innovative partnership approach allows each Affiliate’s management team to own significant equity in their firm and maintain operational autonomy. Our strategy is to generate shareholder value through the growth of our existing Affiliates, as well as through investments in new Affiliates and additional investments in our existing Affiliates. In addition, we provide centralized assistance to our Affiliates in strategic matters, marketing, distribution, product development and operations. As of December 31, 2018, our aggregate assets under management were $736.0 billion in more than 500 investment products across a broad range of active, return-oriented strategies.</w:t>
      </w:r>
    </w:p>
    <w:p>
      <w:pPr>
        <w:spacing w:after="0" w:line="24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partnership approach and provide support and assistance in substantially the same manner for all of our Affiliates. Furthermore, all of our Affiliates are boutique investment managers and are impacted by similar marketplace factors and industry trends. Therefore, our key aggregate operating performance measures, which include the assets under management and fees of all of our Affiliates whether consolidated or accounted for under the equity method, are important in providing management with a more comprehensive view of the operating performance and material trends across our entire business.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operating performance measures: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w w:val="95"/>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billions, except as noted)</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Average assets under management</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fees (in millions)</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5,545.8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5,442.4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4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vertAlign w:val="superscript"/>
        </w:rPr>
      </w:pPr>
      <w:r>
        <w:rPr>
          <w:rFonts w:ascii="Arial" w:cs="Arial" w:eastAsia="Arial" w:hAnsi="Arial"/>
          <w:sz w:val="18"/>
          <w:szCs w:val="18"/>
          <w:color w:val="auto"/>
        </w:rPr>
        <w:t>Aggregate fees is provided in addition to, but not as a substitute for, our financial performance measures.</w:t>
      </w:r>
    </w:p>
    <w:p>
      <w:pPr>
        <w:spacing w:after="0" w:line="27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Assets under management is presented on a current basis without regard to the timing of the inclusion of an Affiliate’s results in our operating performance measures and Consolidated Financial Statements. Average assets under management provides a more meaningful relationship to our operating performance measures and financial results, as it reflects both the particular billing patterns of Affiliate sponsored products and client accounts and corresponds with the timing of the inclusion of an Affiliate's results in our operating performance measures and Consolidated Financial Statements. For certain of our equity method Affiliates, we report aggregate fees and the Affiliate’s financial results in our Consolidated Financial Statements one quarter in arrears.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w:t>
      </w:r>
    </w:p>
    <w:p>
      <w:pPr>
        <w:spacing w:after="0" w:line="14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Through our Affiliates, we manage active, return-oriented strategies, rather than passively-managed products, which typically carry lower fee rates. We continue to see client demand for active, return-oriented strategies, particularly in alternative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strategies and multi-asset strategies, reflecting continued investor demand for returns that are less correlated to traditional equity and fixed income markets. However, broad declines in equity markets in the three months ended December 31, 2018 resulted in significant declines in the value of our assets under management and an increase in net client cash outflows, particularly from liquid alternative strategies and global equity strategies by retail clients. In addition, investor demand for passively-managed products has continued, particularly for the large cap U.S. equity portions of client portfolios, and we experienced outflows in U.S. equity strategies during the year consistent with this industry-wide trend.</w:t>
      </w:r>
    </w:p>
    <w:p>
      <w:pPr>
        <w:spacing w:after="0" w:line="9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expect client demand for illiquid alternative strategies and multi-asset strategies to continue and demand for global equity strategies and liquid alternative strategies to improve from the three months ended December 31, 2018. We believe the best-performing active equity managers (whether global-, regional-, or country-specific) will continue to have significant opportunities to grow from net client cash flows. We believe we are well positioned to benefit from these trends.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charts present information regarding the composition of our assets under management by active, return-oriented strategy as of December 31, 2017 and 2018:</w:t>
      </w:r>
    </w:p>
    <w:p>
      <w:pPr>
        <w:spacing w:after="0" w:line="17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Assets under Management by Strategy</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91440</wp:posOffset>
            </wp:positionV>
            <wp:extent cx="4871085" cy="2040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7108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68" w:lineRule="exact"/>
        <w:rPr>
          <w:sz w:val="20"/>
          <w:szCs w:val="20"/>
          <w:color w:val="auto"/>
        </w:rPr>
      </w:pPr>
    </w:p>
    <w:p>
      <w:pPr>
        <w:ind w:left="340" w:right="40" w:hanging="332"/>
        <w:spacing w:after="0" w:line="264"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8"/>
          <w:szCs w:val="18"/>
          <w:color w:val="auto"/>
        </w:rPr>
        <w:t>Alternatives primarily include assets under management in liquid and illiquid alternative strategies. Alternative strategies generate earnings from (i) asset based fees from products subject to lock-ups or similar restrictions, (ii) asset based fees from products not subject to such restrictions and/or (iii) performance based fees and carried interest.</w:t>
      </w:r>
    </w:p>
    <w:p>
      <w:pPr>
        <w:spacing w:after="0" w:line="181" w:lineRule="exact"/>
        <w:rPr>
          <w:rFonts w:ascii="Arial" w:cs="Arial" w:eastAsia="Arial" w:hAnsi="Arial"/>
          <w:sz w:val="18"/>
          <w:szCs w:val="18"/>
          <w:color w:val="auto"/>
          <w:vertAlign w:val="superscript"/>
        </w:rPr>
      </w:pPr>
    </w:p>
    <w:p>
      <w:pPr>
        <w:ind w:left="340" w:right="360" w:hanging="332"/>
        <w:spacing w:after="0" w:line="277" w:lineRule="auto"/>
        <w:tabs>
          <w:tab w:leader="none" w:pos="340" w:val="left"/>
        </w:tabs>
        <w:numPr>
          <w:ilvl w:val="0"/>
          <w:numId w:val="11"/>
        </w:numPr>
        <w:rPr>
          <w:rFonts w:ascii="Arial" w:cs="Arial" w:eastAsia="Arial" w:hAnsi="Arial"/>
          <w:sz w:val="18"/>
          <w:szCs w:val="18"/>
          <w:color w:val="auto"/>
          <w:vertAlign w:val="superscript"/>
        </w:rPr>
      </w:pPr>
      <w:r>
        <w:rPr>
          <w:rFonts w:ascii="Arial" w:cs="Arial" w:eastAsia="Arial" w:hAnsi="Arial"/>
          <w:sz w:val="18"/>
          <w:szCs w:val="18"/>
          <w:color w:val="auto"/>
        </w:rPr>
        <w:t>Global equities include emerging markets strategies, which accounted for 9% and 8% of our aggregate assets under management as of December 31, 2017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active, return-oriented strategy: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billions)</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Alternatives</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Global Equities</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U.S. Equities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Multi-Asset &amp; Other</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Client cash inflows and commitments</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136.1</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cash outflows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37"/>
        </w:trPr>
        <w:tc>
          <w:tcPr>
            <w:tcW w:w="4120" w:type="dxa"/>
            <w:vAlign w:val="bottom"/>
          </w:tcPr>
          <w:p>
            <w:pPr>
              <w:ind w:left="400"/>
              <w:spacing w:after="0"/>
              <w:rPr>
                <w:sz w:val="20"/>
                <w:szCs w:val="20"/>
                <w:color w:val="auto"/>
              </w:rPr>
            </w:pPr>
            <w:r>
              <w:rPr>
                <w:rFonts w:ascii="Arial" w:cs="Arial" w:eastAsia="Arial" w:hAnsi="Arial"/>
                <w:sz w:val="18"/>
                <w:szCs w:val="18"/>
                <w:color w:val="auto"/>
              </w:rPr>
              <w:t>Net client cash flows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changes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62"/>
        </w:trPr>
        <w:tc>
          <w:tcPr>
            <w:tcW w:w="4120" w:type="dxa"/>
            <w:vAlign w:val="bottom"/>
          </w:tcPr>
          <w:p>
            <w:pPr>
              <w:ind w:left="180"/>
              <w:spacing w:after="0"/>
              <w:rPr>
                <w:sz w:val="20"/>
                <w:szCs w:val="20"/>
                <w:color w:val="auto"/>
              </w:rPr>
            </w:pPr>
            <w:r>
              <w:rPr>
                <w:rFonts w:ascii="Arial" w:cs="Arial" w:eastAsia="Arial" w:hAnsi="Arial"/>
                <w:sz w:val="18"/>
                <w:szCs w:val="18"/>
                <w:color w:val="auto"/>
              </w:rPr>
              <w:t>Foreign exchange</w:t>
            </w:r>
            <w:r>
              <w:rPr>
                <w:rFonts w:ascii="Arial" w:cs="Arial" w:eastAsia="Arial" w:hAnsi="Arial"/>
                <w:sz w:val="18"/>
                <w:szCs w:val="18"/>
                <w:color w:val="auto"/>
                <w:vertAlign w:val="superscript"/>
              </w:rPr>
              <w:t>(1)</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58"/>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Realizations and distributions (net)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736.0</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right="200" w:hanging="332"/>
        <w:spacing w:after="0" w:line="277"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7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2"/>
        </w:numPr>
        <w:rPr>
          <w:rFonts w:ascii="Arial" w:cs="Arial" w:eastAsia="Arial" w:hAnsi="Arial"/>
          <w:sz w:val="17"/>
          <w:szCs w:val="17"/>
          <w:color w:val="auto"/>
          <w:vertAlign w:val="superscript"/>
        </w:rPr>
      </w:pPr>
      <w:r>
        <w:rPr>
          <w:rFonts w:ascii="Arial" w:cs="Arial" w:eastAsia="Arial" w:hAnsi="Arial"/>
          <w:sz w:val="17"/>
          <w:szCs w:val="17"/>
          <w:color w:val="auto"/>
        </w:rPr>
        <w:t>Other primarily includes the assets under management attributable to Affiliate product transitions and transfers of our interests in our Affiliates.</w:t>
      </w:r>
    </w:p>
    <w:p>
      <w:pPr>
        <w:spacing w:after="0" w:line="155" w:lineRule="exact"/>
        <w:rPr>
          <w:rFonts w:ascii="Arial" w:cs="Arial" w:eastAsia="Arial" w:hAnsi="Arial"/>
          <w:sz w:val="17"/>
          <w:szCs w:val="17"/>
          <w:color w:val="auto"/>
          <w:vertAlign w:val="superscript"/>
        </w:rPr>
      </w:pPr>
    </w:p>
    <w:p>
      <w:pPr>
        <w:ind w:left="340"/>
        <w:spacing w:after="0"/>
        <w:rPr>
          <w:rFonts w:ascii="Arial" w:cs="Arial" w:eastAsia="Arial" w:hAnsi="Arial"/>
          <w:sz w:val="17"/>
          <w:szCs w:val="17"/>
          <w:color w:val="auto"/>
          <w:vertAlign w:val="superscript"/>
        </w:rPr>
      </w:pPr>
      <w:r>
        <w:rPr>
          <w:rFonts w:ascii="Arial" w:cs="Arial" w:eastAsia="Arial" w:hAnsi="Arial"/>
          <w:sz w:val="16"/>
          <w:szCs w:val="16"/>
          <w:color w:val="auto"/>
        </w:rPr>
        <w:t>The following charts present information regarding the composition of our assets under management by client type as of December 31, 2017 and 2018:</w:t>
      </w:r>
    </w:p>
    <w:p>
      <w:pPr>
        <w:spacing w:after="0" w:line="16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Assets under Management by Client Type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i w:val="1"/>
          <w:iCs w:val="1"/>
          <w:color w:val="auto"/>
        </w:rPr>
        <w:t>(in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142875</wp:posOffset>
            </wp:positionV>
            <wp:extent cx="4836795" cy="1886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3679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client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billions)</w:t>
            </w: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Institutional</w:t>
            </w:r>
          </w:p>
        </w:tc>
        <w:tc>
          <w:tcPr>
            <w:tcW w:w="340" w:type="dxa"/>
            <w:vAlign w:val="bottom"/>
          </w:tcPr>
          <w:p>
            <w:pPr>
              <w:spacing w:after="0"/>
              <w:rPr>
                <w:sz w:val="16"/>
                <w:szCs w:val="16"/>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Retail</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 Net Worth</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Client cash inflows and commitments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Client cash outflows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7"/>
        </w:trPr>
        <w:tc>
          <w:tcPr>
            <w:tcW w:w="5160" w:type="dxa"/>
            <w:vAlign w:val="bottom"/>
          </w:tcPr>
          <w:p>
            <w:pPr>
              <w:ind w:left="400"/>
              <w:spacing w:after="0"/>
              <w:rPr>
                <w:sz w:val="20"/>
                <w:szCs w:val="20"/>
                <w:color w:val="auto"/>
              </w:rPr>
            </w:pPr>
            <w:r>
              <w:rPr>
                <w:rFonts w:ascii="Arial" w:cs="Arial" w:eastAsia="Arial" w:hAnsi="Arial"/>
                <w:sz w:val="18"/>
                <w:szCs w:val="18"/>
                <w:color w:val="auto"/>
              </w:rPr>
              <w:t>Net client cash flows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changes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62"/>
        </w:trPr>
        <w:tc>
          <w:tcPr>
            <w:tcW w:w="5160" w:type="dxa"/>
            <w:vAlign w:val="bottom"/>
          </w:tcPr>
          <w:p>
            <w:pPr>
              <w:ind w:left="180"/>
              <w:spacing w:after="0"/>
              <w:rPr>
                <w:sz w:val="20"/>
                <w:szCs w:val="20"/>
                <w:color w:val="auto"/>
              </w:rPr>
            </w:pPr>
            <w:r>
              <w:rPr>
                <w:rFonts w:ascii="Arial" w:cs="Arial" w:eastAsia="Arial" w:hAnsi="Arial"/>
                <w:sz w:val="18"/>
                <w:szCs w:val="18"/>
                <w:color w:val="auto"/>
              </w:rPr>
              <w:t>Foreign exchange</w:t>
            </w:r>
            <w:r>
              <w:rPr>
                <w:rFonts w:ascii="Arial" w:cs="Arial" w:eastAsia="Arial" w:hAnsi="Arial"/>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Realizations and distributions (net)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200" w:hanging="332"/>
        <w:spacing w:after="0" w:line="277"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7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3"/>
        </w:numPr>
        <w:rPr>
          <w:rFonts w:ascii="Arial" w:cs="Arial" w:eastAsia="Arial" w:hAnsi="Arial"/>
          <w:sz w:val="17"/>
          <w:szCs w:val="17"/>
          <w:color w:val="auto"/>
          <w:vertAlign w:val="superscript"/>
        </w:rPr>
      </w:pPr>
      <w:r>
        <w:rPr>
          <w:rFonts w:ascii="Arial" w:cs="Arial" w:eastAsia="Arial" w:hAnsi="Arial"/>
          <w:sz w:val="17"/>
          <w:szCs w:val="17"/>
          <w:color w:val="auto"/>
        </w:rPr>
        <w:t>Other primarily includes the assets under management attributable to Affiliate product transitions and transfers of our interests in our Affiliates.</w:t>
      </w:r>
    </w:p>
    <w:p>
      <w:pPr>
        <w:spacing w:after="0" w:line="237" w:lineRule="exact"/>
        <w:rPr>
          <w:sz w:val="20"/>
          <w:szCs w:val="20"/>
          <w:color w:val="auto"/>
        </w:rPr>
      </w:pPr>
    </w:p>
    <w:p>
      <w:pPr>
        <w:jc w:val="both"/>
        <w:ind w:right="440" w:firstLine="324"/>
        <w:spacing w:after="0" w:line="279" w:lineRule="auto"/>
        <w:rPr>
          <w:sz w:val="20"/>
          <w:szCs w:val="20"/>
          <w:color w:val="auto"/>
        </w:rPr>
      </w:pPr>
      <w:r>
        <w:rPr>
          <w:rFonts w:ascii="Arial" w:cs="Arial" w:eastAsia="Arial" w:hAnsi="Arial"/>
          <w:sz w:val="17"/>
          <w:szCs w:val="17"/>
          <w:color w:val="auto"/>
        </w:rPr>
        <w:t>In addition to assets under management, we also report average assets under management. This measure provides a more meaningful relationship to aggregate fees as it reflects both the particular billing patterns of Affiliate sponsored products and client accounts and corresponds with the timing of the inclusion of an Affiliate’s results in our operating performance measures and Consolidated Financial Statements. Average assets under management was $819.9 billion in 2018, an increase of $40.7 billion or 5% compared to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 Fees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Aggregate fees consists of the total asset and performance based fees earned by all of our Affiliates. Asset based fees include advisory and other fees earned by our Affiliates for services provided to their clients and are typically determined as a percentage of the value of a client’s assets under management. Performance based fees are based on investment performance, typically on an absolute basis or relative to a benchmark, and are recognized when they are earned (i.e., when they become billable to customers and are not subject to claw-back). Performance based fees are generally billed less frequently than asset based fees, and although performance based fees inherently depend on investment performance and will vary from period to period, we anticipate performance based fees will be a recurring component of our aggregate fees.</w:t>
      </w:r>
    </w:p>
    <w:p>
      <w:pPr>
        <w:spacing w:after="0" w:line="17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Aggregate fees are generally determined by the level of our average assets under management, the composition of these assets across our active, return-oriented strategies that realize different asset based fee ratios, and performance based fees. Our asset based fee ratio is calculated as asset based fees divided by average assets under management.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Aggregate fees were $5,442.4 million in 2018, a decrease of $103.4 million or 2% as compared to 2017. The decrease in our aggregate fees was primarily due to a decrease in performance based fees of $213.5 million or 4% as a result of a broad decline in equity markets in the three months ended December 31, 2018, which resulted in negative performance for most asset classes. The decrease from performance based fees was partially offset by an increase in asset based fees of $90.5 million or 2%. The increase in asset based fees was primarily due to a 5% increase in our average assets under management (primarily alternative strategies and global equities strategies), partially offset by a 3% decline in our asset based fee ratio due to a change in the composition of our average assets under management and fee rate reductions at certain Affiliate products. The decrease in aggregate fees was also partially offset by a $19.6 million or less than 1% increase from our adoption of Accounting Standard Update (“ASU”) 2014-09, Revenue from Contracts with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and Supplemental Financial Performance Measures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financial and supplemental financial performance measures: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w w:val="95"/>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62"/>
        </w:trPr>
        <w:tc>
          <w:tcPr>
            <w:tcW w:w="6660" w:type="dxa"/>
            <w:vAlign w:val="bottom"/>
          </w:tcPr>
          <w:p>
            <w:pPr>
              <w:ind w:left="40"/>
              <w:spacing w:after="0"/>
              <w:rPr>
                <w:sz w:val="20"/>
                <w:szCs w:val="20"/>
                <w:color w:val="auto"/>
              </w:rPr>
            </w:pPr>
            <w:r>
              <w:rPr>
                <w:rFonts w:ascii="Arial" w:cs="Arial" w:eastAsia="Arial" w:hAnsi="Arial"/>
                <w:sz w:val="18"/>
                <w:szCs w:val="18"/>
                <w:color w:val="auto"/>
              </w:rPr>
              <w:t>Adjusted EBITDA (controlling interest)</w:t>
            </w:r>
            <w:r>
              <w:rPr>
                <w:rFonts w:ascii="Arial" w:cs="Arial" w:eastAsia="Arial" w:hAnsi="Arial"/>
                <w:sz w:val="18"/>
                <w:szCs w:val="18"/>
                <w:color w:val="auto"/>
                <w:vertAlign w:val="superscript"/>
              </w:rPr>
              <w:t>(1)</w:t>
            </w: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8"/>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Economic net income (controlling interest)</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824.4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22" w:lineRule="exact"/>
        <w:rPr>
          <w:sz w:val="20"/>
          <w:szCs w:val="20"/>
          <w:color w:val="auto"/>
        </w:rPr>
      </w:pPr>
    </w:p>
    <w:p>
      <w:pPr>
        <w:ind w:left="340" w:right="460" w:hanging="332"/>
        <w:spacing w:after="0" w:line="277" w:lineRule="auto"/>
        <w:tabs>
          <w:tab w:leader="none" w:pos="340" w:val="left"/>
        </w:tabs>
        <w:numPr>
          <w:ilvl w:val="0"/>
          <w:numId w:val="14"/>
        </w:numPr>
        <w:rPr>
          <w:rFonts w:ascii="Arial" w:cs="Arial" w:eastAsia="Arial" w:hAnsi="Arial"/>
          <w:sz w:val="18"/>
          <w:szCs w:val="18"/>
          <w:color w:val="auto"/>
          <w:vertAlign w:val="superscript"/>
        </w:rPr>
      </w:pPr>
      <w:r>
        <w:rPr>
          <w:rFonts w:ascii="Arial" w:cs="Arial" w:eastAsia="Arial" w:hAnsi="Arial"/>
          <w:sz w:val="18"/>
          <w:szCs w:val="18"/>
          <w:color w:val="auto"/>
        </w:rPr>
        <w:t>Adjusted EBITDA (controlling interest) and Economic net income (controlling interest) are non-GAAP performance measures and are discussed in “Supplemental Financial Performance Measures.”</w:t>
      </w:r>
    </w:p>
    <w:p>
      <w:pPr>
        <w:spacing w:after="0" w:line="8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our contingent payment arrangements. While our aggregate fees decreased $103.4 million or 2% in 2018, our Adjusted EBITDA (controlling interest) decreased $154.4 million or 14%. This decrease was primarily due to decreases in performance based fees, which were predominantly at our equity method Affiliates in which we share in the Affiliate’s revenue less agreed-upon expenses. The expense bases of these Affiliates are generally less variable and, therefore, when performance based fees decline the percentage impact is greater on the Affiliate’s earnings relative to the impact on the Affiliate’s revenue. The decrease in our Adjusted EBITDA (controlling interest) was also due to a decrease of $22.5 million in Investment and other income attributable to the controlling interest and a $20.0 million charitable contribution.</w:t>
      </w:r>
    </w:p>
    <w:p>
      <w:pPr>
        <w:spacing w:after="0" w:line="24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While Adjusted EBITDA (controlling interest) decreased $154.4 million or 14% in 2018, our Net income (controlling interest) decreased $445.9 million or 65%. This decrease was primarily due to a $207.6 million (net of tax) increase in expenses to reduce the carrying value to fair value of one of our non-U.S. alternative Affiliates and to reduce the carrying value to zero of one of our U.S. alternative Affiliates, both accounted for under the equity method. This decrease was also due to a $194.1 million one-time tax benefit recognized in 2017 as a result of changes in U.S. tax laws, primarily due to the re-measurement of our deferred tax assets and liabilities, which did not recur in 2018. These decreases were partially offset by a lower U.S. corporate income tax rate from the changes in U.S. tax laws and a $7.2 million or 8% reduction in Interest expense.</w:t>
      </w:r>
    </w:p>
    <w:p>
      <w:pPr>
        <w:spacing w:after="0" w:line="2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consider Economic net income (controlling interest) to be an important measure of our financial performance, as we believe it best represents our performance after tax and before our share of non-cash expenses relating to our acquisition of interests in our Affiliates. While Adjusted EBITDA (controlling interest) decreased $154.4 million or 14% in 2018, our Economic net income (controlling interest) decreased $43.7 million or 5%, primarily due to a reduction in our effective tax rate from changes in U.S. tax laws and a $28.2 million tax benefit recognized on the liquidation of the U.S. alternative Affiliate accounted for under the equity method.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discussion includes the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income (loss) (net).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Revenue</w:t>
      </w:r>
    </w:p>
    <w:p>
      <w:pPr>
        <w:spacing w:after="0" w:line="2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Consolidated revenue is derived from our consolidated Affiliates, primarily from asset and performance 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 average assets under management, the composition of these assets across our Affiliate sponsored products and client accounts that realize different asset based fee ratios, and performance based fees.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Affiliate average assets under management and Consolidated revenue: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as noted)</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400" w:type="dxa"/>
            <w:vAlign w:val="bottom"/>
          </w:tcPr>
          <w:p>
            <w:pPr>
              <w:spacing w:after="0"/>
              <w:rPr>
                <w:sz w:val="22"/>
                <w:szCs w:val="22"/>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Consolidated Affiliate average assets under management (in</w:t>
            </w: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373.4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406.5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419.6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billions)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40" w:type="dxa"/>
            <w:vAlign w:val="bottom"/>
          </w:tcPr>
          <w:p>
            <w:pPr>
              <w:ind w:left="20"/>
              <w:spacing w:after="0"/>
              <w:rPr>
                <w:sz w:val="20"/>
                <w:szCs w:val="20"/>
                <w:color w:val="auto"/>
              </w:rPr>
            </w:pPr>
            <w:r>
              <w:rPr>
                <w:rFonts w:ascii="Arial" w:cs="Arial" w:eastAsia="Arial" w:hAnsi="Arial"/>
                <w:sz w:val="18"/>
                <w:szCs w:val="18"/>
                <w:color w:val="auto"/>
              </w:rPr>
              <w:t>Consolidated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2,194.6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2,305.0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2,378.4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Consolidated revenue increased $73.4 million or 3% in 2018, due to a $52.6 million or 2% increase from asset based fees, a $19.6 million or less than 1% increase from our adoption of ASU 2014-09, Revenue from Contracts with Customers and a $1.2 million increase from performance based fees. The increase in asset based fees was due to a 3% increase in consolidated Affiliate average assets under management, primarily in our alternative strategies and multi-asset and other strategies. The increase in asset based fees was partially offset by a 1% decline in our asset based fee ratio due to a change in the composition of our average assets under management.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Consolidated revenue increased $110.4 million or 5% in 2017, due to a $129.1 million or 6% increase from asset based fees, partially offset by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$18.7 million or 1% decrease from performance based fees. The increase in asset based fees was due to a 9% increase in consolidated Affiliate average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management, primarily in our global equity strategies and multi-asset and other strategies. The increase in asset based fees was partially offset by a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in our consolidated Affiliate asset based fee ratio due to a change in the composition of our average assets under management.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Expenses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373.1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417.7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other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consolidated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1,692.0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Consolidated expenses are primarily attributable to the non-controlling interests of our consolidated Affiliates in which we share in revenue without regard to expenses. For these Affiliates, the amount of expenses attributable to the non-controlling interests, including compensation, is generally determined by the percentage of revenue allocated to expenses as part of the structured partnership interests in place at the respective Affiliate. Accordingly, increases in revenue generally will increase a consolidated Affiliate’s expenses attributable to the non-controlling interest and decreases in revenue will generally decrease a consolidated Affiliate’s expenses attributable to the non-controlling interest.</w:t>
      </w:r>
    </w:p>
    <w:p>
      <w:pPr>
        <w:spacing w:after="0" w:line="22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Compensation and related expenses increased $8.2 million or 1% in 2018, primarily due to a $4.3 million or less than 1% increase in share-based compensation expense and a $3.0 million or less than 1% increase in compensation expenses associated with Affiliate equity transactions. These changes were primarily attributable to the controlling interest.</w:t>
      </w:r>
    </w:p>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and related expenses increased $46.6 million or 5% in 2017, primarily due to a $35.0 million or 4% increase in compensation expenses at Affiliates and a $8.5 million or 1% increase in compensation expenses associated with Affiliate equity transactions. These changes were primarily attributable to the non-controlling interests.</w:t>
      </w:r>
    </w:p>
    <w:p>
      <w:pPr>
        <w:spacing w:after="0" w:line="23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Selling, general and administrative expenses increased $44.6 million or 12% in 2018, due to a $25.1 million or 7% increase in expenses related to the non-controlling interests, primarily due to an increase in investment research and other costs. This increase was also due to a $19.6 million or 5% increase in distribution-related expenses from our adoption of ASU 2014-09, Revenue from Contracts with Customers, also primarily attributable to the non-controlling interests.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Selling, general and administrative expenses decreased $25.0 million or 6% in 2017, primarily due to a $15.0 million or 4% decrease in expenses associated with legal claims and a $5.7 million or 1% reduction in distribution expenses related to commissions at certain of our UK Affiliates, both attributable to the non-controlling interests. The decrease was also due to a $5.8 million or 1% reduction in expenses related to wealth management initiatives attributable to the controlling interest.</w:t>
      </w:r>
    </w:p>
    <w:p>
      <w:pPr>
        <w:spacing w:after="0" w:line="24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Intangible amortization and impairments increased $28.4 million or 33% in 2018, due to a $30.1 million or 35% increase from a change in the pattern of economic benefit for certain assets, partially offset by a $1.7 million or 2% decrease from certain assets being fully amortized. These changes were primarily attributable to the controlling interest.</w:t>
      </w:r>
    </w:p>
    <w:p>
      <w:pPr>
        <w:spacing w:after="0" w:line="23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Intangible amortization and impairments decreased $23.8 million or 22% in 2017, due to a $16.0 million or 15% decrease from a change in the pattern of economic benefit for certain assets and a $7.8 million or 7% decrease from certain assets being fully amortized. These changes were primarily attributable to the controlling interest.</w:t>
      </w:r>
    </w:p>
    <w:p>
      <w:pPr>
        <w:spacing w:after="0" w:line="23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Interest expense decreased $7.2 million or 8% in 2018, primarily due to an $8.6 million or 10% decrease from the redemption of our 6.375% senior unsecured notes due 2042 in August 2017 and a $3.8 million or 4% decrease due to our pound sterling-denominated forward foreign currency contracts. These decreases were partially offset by a $4.0 million or 5% increase in interest expense on our credit facilities due to an increase in the applicable borrowing rates. These changes were attributable to the controlling interest.</w:t>
      </w:r>
    </w:p>
    <w:p>
      <w:pPr>
        <w:spacing w:after="0" w:line="24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Interest expense decreased $3.9 million or 4% in 2017, primarily due to a $5.3 million or 6% decrease from the redemption of our 6.375% senior unsecured notes due 2042 in August 2017. This change was attributable to the controlling interest.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in Depreciation and other amortization in 2018 or 2017.</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Other expenses (net) increased $11.7 million or 20% in 2018, primarily due to a $20.0 million or 34% increase in charitable contributions and a $3.0 million or 5% increase in rent expense. These increases were partially offset by a $6.3 million or 11% decrease in losses resulting from changes in the value of contingent payment arrangements and a $6.2 million or 11% decrease in expenses from changes in the value of Affiliate equity repurchase obligations. These changes were primarily attributable to the controlling interest.</w:t>
      </w:r>
    </w:p>
    <w:p>
      <w:pPr>
        <w:spacing w:after="0" w:line="24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expenses (net) increased $14.7 million or 34% in 2017, primarily due to a $9.3 million or 21% increase in losses resulting from the changes in the value of contingent payment arrangements, a $2.1 million or 5% increase in expenses from changes in the value of Affiliate equity repurchase obligations and a $2.0 or 5% increase in rent expense. These changes were primarily attributable to the controlling interest.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Income (Loss) (Net)</w:t>
      </w:r>
    </w:p>
    <w:p>
      <w:pPr>
        <w:spacing w:after="0" w:line="144"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When we do not own a controlling interest in an Affiliate, but have significant influence, we account for our interest in the Affiliate under the equity method. Our share of earnings or losses from these Affiliates, net of amortization and impairments, is included in Equity method income (loss) (net) in our Consolidated Statements of Income.</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a majority of these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 We also use structured partnership interests in which we contractually share in the Affiliate’s revenue without regard to expenses, and in this type of partnership interest, our contractual share of revenue generally has priority over distributions to Affiliate management.</w:t>
      </w:r>
    </w:p>
    <w:p>
      <w:pPr>
        <w:spacing w:after="0" w:line="11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equity method revenue is derived primarily from asset and performance based fees from investment management services. Equity method revenue incorporates the total asset and performance based fees earned by all of our equity method Affiliates and is generally determined by the level of our equity method Affiliate average assets under management, the composition of these assets across our Affiliate sponsored products and client accounts that realize different asset based fee ratios and performance based fees. Our equity method Affiliates manage a greater proportion of assets subject to performance based fees than our consolidated Affiliates and, as a result, our equity method revenue will generally have more performance based fees than Consolidated revenue.</w:t>
      </w:r>
    </w:p>
    <w:p>
      <w:pPr>
        <w:spacing w:after="0" w:line="21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equity method Affiliate average assets under management and equity method revenue, as well as equity method earnings and equity method intangible amortization and impairments, which in aggregate form Equity method income (loss) (net):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as noted)</w:t>
            </w:r>
          </w:p>
        </w:tc>
        <w:tc>
          <w:tcPr>
            <w:tcW w:w="28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22"/>
                <w:szCs w:val="22"/>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Performance Measures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Equity method Affiliate average assets under management (in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9"/>
                <w:szCs w:val="19"/>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5"/>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33"/>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billions)</w:t>
            </w:r>
          </w:p>
        </w:tc>
        <w:tc>
          <w:tcPr>
            <w:tcW w:w="2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revenue</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3,240.8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3,064.0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Performance Measures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Equity method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370.6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intangible amortization and impairments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57"/>
        </w:trPr>
        <w:tc>
          <w:tcPr>
            <w:tcW w:w="5000" w:type="dxa"/>
            <w:vAlign w:val="bottom"/>
          </w:tcPr>
          <w:p>
            <w:pPr>
              <w:ind w:left="180"/>
              <w:spacing w:after="0"/>
              <w:rPr>
                <w:sz w:val="20"/>
                <w:szCs w:val="20"/>
                <w:color w:val="auto"/>
              </w:rPr>
            </w:pPr>
            <w:r>
              <w:rPr>
                <w:rFonts w:ascii="Arial" w:cs="Arial" w:eastAsia="Arial" w:hAnsi="Arial"/>
                <w:sz w:val="18"/>
                <w:szCs w:val="18"/>
                <w:color w:val="auto"/>
              </w:rPr>
              <w:t>Equity method income (loss)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302.2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right="40" w:hanging="332"/>
        <w:spacing w:after="0" w:line="259" w:lineRule="auto"/>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8"/>
          <w:szCs w:val="18"/>
          <w:color w:val="auto"/>
        </w:rPr>
        <w:t>Equity method revenue is an operating measure and is provided in addition to, but not as a substitute for, Equity method income (loss) (net) or other financial performance measures. Equity method revenue differs from the revenue of our equity method Affiliates reported in Note 13 to our Consolidated Financial Statements, as it does not include the financial impact of any consolidated sponsored investment products or other entities that may need to be consolidated by our equity method Affiliates under GAAP.</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equity method revenue decreased $176.8 million or 5% in 2018, primarily due to a $214.7 million or 7% decrease from performance based fees due to a broad decline in equity markets in the three months ended December 31, 2018, which resulted in negative performance for most asset classes, partially offset by a $37.9 million or 1% increase from asset based fees. The increase in asset based fees was due to a 7% increase in equity method Affiliate average assets under management, partially offset by a 5% decline in our asset based fee ratio due to a change in the composition of our average assets under management and fee rate reductions at certain Affiliate products.</w:t>
      </w:r>
    </w:p>
    <w:p>
      <w:pPr>
        <w:spacing w:after="0" w:line="10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While equity method revenue decreased 5% in 2018, equity method earnings decreased $130.8 million or 26%, primarily due to the decline in performance based fees at our equity method Affiliates in which we share in the Affiliate’s revenue less agreed-upon expenses. The expense bases of these Affiliates are generally less variable and, therefore, when performance based fees decline the percentage impact is greater on the Affiliate’s earnings relative to the impact on the Affiliate’s revenue. The decrease was also due to an increase in expenses at certain of our Affiliates as they continue to invest in new investment strategies and enhance their distribution capabilities.</w:t>
      </w:r>
    </w:p>
    <w:p>
      <w:pPr>
        <w:spacing w:after="0" w:line="242"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Equity method intangible amortization and impairments increased $171.6 million or 86% in 2018. This increase was primarily due to a $180.2 million or 90% increase in expenses to reduce the carrying value of one of our U.S. alternative Affiliates to zero and reduce the carrying value to fair value of one of our non-U.S. alternative Affiliates. See Note 13 of our Consolidated Financial Statements for additional information. This increase was partially offset by an $8.6 million or 4% decrease in amortization from a change in the pattern of economic benefit for certain assets.</w:t>
      </w:r>
    </w:p>
    <w:p>
      <w:pPr>
        <w:spacing w:after="0" w:line="9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equity method revenue increased $1,139.1 million or 54% in 2017, due to a $649.1 million or 31% increase from asset based fees and a $490.0 million or 23% increase from performance based fees. The increase in asset based fees was due to a 32% increase in equity method Affiliate average assets under management, primarily due to an increase in assets under management from investments in new Affiliates and a 3% increase in our equity method Affiliate asset based fee ratio due to the change in the composition of our average assets under management. Performance based fees increased due to the full-year impact in 2017 of our 2016 investments in new Affiliates and due to increases in performance based fees at our existing Affiliates.</w:t>
      </w:r>
    </w:p>
    <w:p>
      <w:pPr>
        <w:spacing w:after="0" w:line="2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equity method revenue increased $1,139.1 million or 54% in 2017, equity method earnings increased $113.4 million or 29% in 2017, primarily due to our 2016 investments in new Affiliates, in which we own less of the economic interests.</w:t>
      </w:r>
    </w:p>
    <w:p>
      <w:pPr>
        <w:spacing w:after="0" w:line="2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method intangible amortization and impairments increased $140.0 million in 2017, primarily due to a $93.1 million expense to reduce the carrying value to fair value of the U.S. alternative Affiliate for which we recorded an expense in 2018 to reduce the carrying value to zero and a $41.0 million increase in amortization from the full-year impact in 2017 of our 2016 investments in new Affiliates.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and other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Investment and other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and 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9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39%  $</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Investment and other income decreased $37.1 million or 58% in 2018, primarily due to a $28.8 million or 45% decrease in realized gains on the sale of marketable securities, primarily attributable to the controlling interest, and a $4.3 million or 7% increase in foreign currency transaction losses, primarily attributable to the non-controlling interests.</w:t>
      </w:r>
    </w:p>
    <w:p>
      <w:pPr>
        <w:spacing w:after="0" w:line="249" w:lineRule="exact"/>
        <w:rPr>
          <w:sz w:val="20"/>
          <w:szCs w:val="20"/>
          <w:color w:val="auto"/>
        </w:rPr>
      </w:pPr>
    </w:p>
    <w:p>
      <w:pPr>
        <w:ind w:right="60" w:firstLine="324"/>
        <w:spacing w:after="0" w:line="293" w:lineRule="auto"/>
        <w:rPr>
          <w:sz w:val="20"/>
          <w:szCs w:val="20"/>
          <w:color w:val="auto"/>
        </w:rPr>
      </w:pPr>
      <w:r>
        <w:rPr>
          <w:rFonts w:ascii="Arial" w:cs="Arial" w:eastAsia="Arial" w:hAnsi="Arial"/>
          <w:sz w:val="18"/>
          <w:szCs w:val="18"/>
          <w:color w:val="auto"/>
        </w:rPr>
        <w:t>Investment and other income increased $18.1 million or 39% in 2017, due to an $11.4 million or 25% increase in the fair value of investments and a $6.7 million or 14% increase in net realized gains, both primarily attributable to the controlling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Income tax expense: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2"/>
              </w:rPr>
              <w:t>For the Years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235.6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2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(75)%  $</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N.M.</w:t>
            </w:r>
            <w:r>
              <w:rPr>
                <w:rFonts w:ascii="Arial" w:cs="Arial" w:eastAsia="Arial" w:hAnsi="Arial"/>
                <w:sz w:val="18"/>
                <w:szCs w:val="18"/>
                <w:color w:val="auto"/>
                <w:w w:val="91"/>
                <w:vertAlign w:val="superscript"/>
              </w:rPr>
              <w:t>(1)</w:t>
            </w:r>
          </w:p>
        </w:tc>
      </w:tr>
      <w:tr>
        <w:trPr>
          <w:trHeight w:val="191"/>
        </w:trPr>
        <w:tc>
          <w:tcPr>
            <w:tcW w:w="4700" w:type="dxa"/>
            <w:vAlign w:val="bottom"/>
          </w:tcPr>
          <w:p>
            <w:pPr>
              <w:jc w:val="right"/>
              <w:ind w:right="2742"/>
              <w:spacing w:after="0"/>
              <w:rPr>
                <w:sz w:val="20"/>
                <w:szCs w:val="20"/>
                <w:color w:val="auto"/>
              </w:rPr>
            </w:pPr>
            <w:r>
              <w:rPr>
                <w:rFonts w:ascii="Arial" w:cs="Arial" w:eastAsia="Arial" w:hAnsi="Arial"/>
                <w:sz w:val="14"/>
                <w:szCs w:val="14"/>
                <w:color w:val="auto"/>
                <w:w w:val="91"/>
              </w:rPr>
              <w:t>__________________________</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8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Income tax expense increased $122.9 million in 2018, primarily due to a $194.1 million one-time net benefit recognized in 2017 as a result of changes in U.S. tax laws, principally from the re-measurement of our deferred tax liabilities associated with our intangible assets and convertible securities, which did not recur in 2018. Without the one-time impact of the changes in U.S. tax laws in 2017, Income tax expense would have decreased approximately $76 million or 31% in 2018, primarily due to lower Income before income taxes (controlling interest) and the lower U.S. corporate income tax rate.</w:t>
      </w:r>
    </w:p>
    <w:p>
      <w:pPr>
        <w:spacing w:after="0" w:line="73"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Income tax expense decreased $177.2 million or 75% in 2017, primarily due to a $194.1 million one-time net benefit from the changes in U.S. tax laws, partially offset by an increase in income tax expense due to an increase in Income before income taxes (controlling interest). The net benefit from changes in U.S. tax laws was primarily due to the re-measurement of our deferred tax liabilities associated with our intangible assets and convertible securities.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previously discussed changes in revenue and expenses had the following effect on Net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460" w:type="dxa"/>
            <w:vAlign w:val="bottom"/>
            <w:tcBorders>
              <w:bottom w:val="single" w:sz="8" w:color="auto"/>
            </w:tcBorders>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 (non-controlling interests)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Performance Measures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(controlling interest)</w:t>
      </w:r>
    </w:p>
    <w:p>
      <w:pPr>
        <w:spacing w:after="0" w:line="18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supplemental information, we provide a non-GAAP measure that we refer to as Adjusted EBITDA (controlling interest). Adjusted EBITDA (controlling interest) is an important supplemental financial performance measure for management as it provides a comprehensive view of our share of the financial performance of our business before interest, taxes, depreciation, amortization, impairments, and adjustments to our contingent payment arrangements. This non-GAAP</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performance measure is provided in addition to, but not as a substitute for, Net income (controlling interest) or other GAAP performance measures.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Adjusted EBITDA (controlling interest):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243.6</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80.6</w:t>
            </w:r>
          </w:p>
        </w:tc>
      </w:tr>
      <w:tr>
        <w:trPr>
          <w:trHeight w:val="27"/>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169.4</w:t>
            </w:r>
          </w:p>
        </w:tc>
      </w:tr>
      <w:tr>
        <w:trPr>
          <w:trHeight w:val="262"/>
        </w:trPr>
        <w:tc>
          <w:tcPr>
            <w:tcW w:w="6500" w:type="dxa"/>
            <w:vAlign w:val="bottom"/>
          </w:tcPr>
          <w:p>
            <w:pPr>
              <w:ind w:left="18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18"/>
                <w:szCs w:val="18"/>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454.9</w:t>
            </w:r>
          </w:p>
        </w:tc>
      </w:tr>
      <w:tr>
        <w:trPr>
          <w:trHeight w:val="272"/>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items</w:t>
            </w:r>
            <w:r>
              <w:rPr>
                <w:rFonts w:ascii="Arial" w:cs="Arial" w:eastAsia="Arial" w:hAnsi="Arial"/>
                <w:sz w:val="18"/>
                <w:szCs w:val="18"/>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r>
      <w:tr>
        <w:trPr>
          <w:trHeight w:val="264"/>
        </w:trPr>
        <w:tc>
          <w:tcPr>
            <w:tcW w:w="6500" w:type="dxa"/>
            <w:vAlign w:val="bottom"/>
          </w:tcPr>
          <w:p>
            <w:pPr>
              <w:ind w:left="40"/>
              <w:spacing w:after="0"/>
              <w:rPr>
                <w:sz w:val="20"/>
                <w:szCs w:val="20"/>
                <w:color w:val="auto"/>
              </w:rPr>
            </w:pPr>
            <w:r>
              <w:rPr>
                <w:rFonts w:ascii="Arial" w:cs="Arial" w:eastAsia="Arial" w:hAnsi="Arial"/>
                <w:sz w:val="18"/>
                <w:szCs w:val="18"/>
                <w:color w:val="auto"/>
              </w:rPr>
              <w:t>Adjusted EBITDA (controlling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961.8</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8"/>
          <w:szCs w:val="18"/>
          <w:color w:val="auto"/>
        </w:rPr>
        <w:t>For the year end December 31, 2017, Income taxes include a one-time net benefit of $194.1 million from changes in U.S. tax laws.</w:t>
      </w:r>
    </w:p>
    <w:p>
      <w:pPr>
        <w:spacing w:after="0" w:line="225" w:lineRule="exact"/>
        <w:rPr>
          <w:rFonts w:ascii="Arial" w:cs="Arial" w:eastAsia="Arial" w:hAnsi="Arial"/>
          <w:sz w:val="18"/>
          <w:szCs w:val="18"/>
          <w:color w:val="auto"/>
          <w:vertAlign w:val="superscript"/>
        </w:rPr>
      </w:pPr>
    </w:p>
    <w:p>
      <w:pPr>
        <w:ind w:left="340" w:right="120" w:hanging="332"/>
        <w:spacing w:after="0" w:line="264"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8"/>
          <w:szCs w:val="18"/>
          <w:color w:val="auto"/>
        </w:rPr>
        <w:t>Our consolidated Intangible amortization and impairments includes amortization attributable to our non-controlling interests. For our equity method Affiliates, we do not separately report intangible amortization and impairments in our Consolidated Statements of Income. Our share of these Affiliates’ amortization is reported in Equity method income (loss) (net).</w:t>
      </w:r>
    </w:p>
    <w:p>
      <w:pPr>
        <w:spacing w:after="0" w:line="100" w:lineRule="exact"/>
        <w:rPr>
          <w:rFonts w:ascii="Arial" w:cs="Arial" w:eastAsia="Arial" w:hAnsi="Arial"/>
          <w:sz w:val="18"/>
          <w:szCs w:val="18"/>
          <w:color w:val="auto"/>
          <w:vertAlign w:val="superscript"/>
        </w:rPr>
      </w:pPr>
    </w:p>
    <w:p>
      <w:pPr>
        <w:ind w:left="340"/>
        <w:spacing w:after="0"/>
        <w:rPr>
          <w:rFonts w:ascii="Arial" w:cs="Arial" w:eastAsia="Arial" w:hAnsi="Arial"/>
          <w:sz w:val="18"/>
          <w:szCs w:val="18"/>
          <w:color w:val="auto"/>
          <w:vertAlign w:val="superscript"/>
        </w:rPr>
      </w:pPr>
      <w:r>
        <w:rPr>
          <w:rFonts w:ascii="Arial" w:cs="Arial" w:eastAsia="Arial" w:hAnsi="Arial"/>
          <w:sz w:val="18"/>
          <w:szCs w:val="18"/>
          <w:color w:val="auto"/>
        </w:rPr>
        <w:t>The following table presents the Intangible amortization and impairments shown above:</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intangible amortization and impairments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Consolidated intangible amortization (non-controlling interests)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 and impairments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370.8</w:t>
            </w:r>
          </w:p>
        </w:tc>
      </w:tr>
      <w:tr>
        <w:trPr>
          <w:trHeight w:val="257"/>
        </w:trPr>
        <w:tc>
          <w:tcPr>
            <w:tcW w:w="616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454.9</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For the year ended December 31, 2017, equity method intangible amortization and impairments includes a $93.1 million non-cash expense to reduce the carrying value to fair value of one of our U.S. alternative Affiliates accounted for under the equity method. For the year ended December 31, 2018, equity method intangible amortization and impairments includes a $240.0 million non-cash expense to reduce the carrying value to fair value of one of our non-U.S. alternative Affiliates accounted for under the equity method and a $33.3 million non-cash expense to reduce the carrying value to zero of the U.S. alternative Affiliate.</w:t>
      </w:r>
    </w:p>
    <w:p>
      <w:pPr>
        <w:spacing w:after="0" w:line="1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8"/>
          <w:szCs w:val="18"/>
          <w:color w:val="auto"/>
        </w:rPr>
        <w:t>Other items include depreciation and adjustments to contingent payment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Economic Net Income (controlling interest) and Economic Earnings Per Share</w:t>
      </w:r>
    </w:p>
    <w:p>
      <w:pPr>
        <w:spacing w:after="0" w:line="27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As supplemental information, we also provide non-GAAP performance measures that we refer to as Economic net income (controlling interest) and Economic earnings per share. We consider Economic net income (controlling interest) and Economic earnings per share to be important measures of our financial performance, as we believe they best represent performance before our share of non-cash expenses relating to our acquisition of interests in our Affiliates, and they are, therefore, employed as our principal performance measures. Economic net income (controlling interest) and Economic earnings per share are used by our management and Board of Directors as our principal performance benchmarks, including as one of the measures for aligning executive compensation with stockholder value. These measures are provided in addition to, but not as substitutes for, Net income (controlling interest) and Earnings per share (diluted) or other GAAP performance measures.</w:t>
      </w:r>
    </w:p>
    <w:p>
      <w:pPr>
        <w:spacing w:after="0" w:line="23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Under our Economic net income (controlling interest) definition, we add to Net income (controlling interest) our share of pre-tax intangible amortization and impairments (including the portion attributable to equity method investments in Affiliates),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deferred taxes related to intangible assets and other economic items, which include non-cash imputed interest (principally related to the accounting for convertible securities and contingent payment arrangements) and certain Affiliate equity expenses. For the year ended December 31, 2017, we excluded from Economic net income (controlling interest) a one-time net benefit from changes in U.S. tax laws. We add back intangible amortization and impairments because these expenses do not correspond to the changes in value of these assets, which do not diminish predictably over time. The portion of deferred taxes generally attributable to intangible assets (including goodwill) is added back because we believe it is unlikely these accruals will be used to settle material tax obligations. We add back non-cash imputed interest and reductions or increases in contingent payment arrangements to better reflect our contractual interest obligations. We add back non-cash expenses relating to certain transfers of equity between Affiliate partners when these transfers have no dilutive effect to shareholders. We have excluded the one-time impact of the changes in U.S. tax laws to ensure comparability with prior and future periods.</w:t>
      </w:r>
    </w:p>
    <w:p>
      <w:pPr>
        <w:spacing w:after="0" w:line="22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Economic earnings per share represents Economic net income (controlling interest) divided by the Average shares outstanding (adjusted diluted). In this calculation, the potential share issuance in connection with our convertible securities is measured using a “treasury stock” method. Under this method, only the net number of shares of common stock equal to the value of these convertible securities in excess of par, if any, is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Economic net income (controlling interest):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18"/>
                <w:szCs w:val="18"/>
                <w:color w:val="auto"/>
                <w:vertAlign w:val="superscript"/>
              </w:rPr>
              <w:t>(1)</w:t>
            </w: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78"/>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Intangible-related deferred taxes</w:t>
            </w:r>
            <w:r>
              <w:rPr>
                <w:rFonts w:ascii="Arial" w:cs="Arial" w:eastAsia="Arial" w:hAnsi="Arial"/>
                <w:sz w:val="18"/>
                <w:szCs w:val="18"/>
                <w:color w:val="auto"/>
                <w:vertAlign w:val="superscript"/>
              </w:rPr>
              <w:t>(2)</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62"/>
        </w:trPr>
        <w:tc>
          <w:tcPr>
            <w:tcW w:w="7000" w:type="dxa"/>
            <w:vAlign w:val="bottom"/>
          </w:tcPr>
          <w:p>
            <w:pPr>
              <w:ind w:left="40"/>
              <w:spacing w:after="0"/>
              <w:rPr>
                <w:sz w:val="20"/>
                <w:szCs w:val="20"/>
                <w:color w:val="auto"/>
              </w:rPr>
            </w:pPr>
            <w:r>
              <w:rPr>
                <w:rFonts w:ascii="Arial" w:cs="Arial" w:eastAsia="Arial" w:hAnsi="Arial"/>
                <w:sz w:val="18"/>
                <w:szCs w:val="18"/>
                <w:color w:val="auto"/>
              </w:rPr>
              <w:t>Other economic items</w:t>
            </w:r>
            <w:r>
              <w:rPr>
                <w:rFonts w:ascii="Arial" w:cs="Arial" w:eastAsia="Arial" w:hAnsi="Arial"/>
                <w:sz w:val="18"/>
                <w:szCs w:val="18"/>
                <w:color w:val="auto"/>
                <w:vertAlign w:val="superscript"/>
              </w:rPr>
              <w:t>(3)</w:t>
            </w: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2"/>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U.S. tax laws</w:t>
            </w:r>
            <w:r>
              <w:rPr>
                <w:rFonts w:ascii="Arial" w:cs="Arial" w:eastAsia="Arial" w:hAnsi="Arial"/>
                <w:sz w:val="18"/>
                <w:szCs w:val="18"/>
                <w:color w:val="auto"/>
                <w:vertAlign w:val="superscript"/>
              </w:rPr>
              <w:t>(4)</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Economic net income (controlling interest)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703.6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824.4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(diluted)</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Assumed issuance of junior convertible securities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(adjusted diluted)</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00" w:type="dxa"/>
            <w:vAlign w:val="bottom"/>
          </w:tcPr>
          <w:p>
            <w:pPr>
              <w:ind w:left="40"/>
              <w:spacing w:after="0"/>
              <w:rPr>
                <w:sz w:val="20"/>
                <w:szCs w:val="20"/>
                <w:color w:val="auto"/>
              </w:rPr>
            </w:pPr>
            <w:r>
              <w:rPr>
                <w:rFonts w:ascii="Arial" w:cs="Arial" w:eastAsia="Arial" w:hAnsi="Arial"/>
                <w:sz w:val="18"/>
                <w:szCs w:val="18"/>
                <w:color w:val="auto"/>
              </w:rPr>
              <w:t>Economic earnings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0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See note (2) to the table in “Adjusted EBITDA (controlling interest).”</w:t>
      </w:r>
    </w:p>
    <w:p>
      <w:pPr>
        <w:spacing w:after="0" w:line="225" w:lineRule="exact"/>
        <w:rPr>
          <w:rFonts w:ascii="Arial" w:cs="Arial" w:eastAsia="Arial" w:hAnsi="Arial"/>
          <w:sz w:val="18"/>
          <w:szCs w:val="18"/>
          <w:color w:val="auto"/>
          <w:vertAlign w:val="superscript"/>
        </w:rPr>
      </w:pPr>
    </w:p>
    <w:p>
      <w:pPr>
        <w:ind w:left="340" w:right="540" w:hanging="332"/>
        <w:spacing w:after="0" w:line="302" w:lineRule="auto"/>
        <w:tabs>
          <w:tab w:leader="none" w:pos="340" w:val="left"/>
        </w:tabs>
        <w:numPr>
          <w:ilvl w:val="0"/>
          <w:numId w:val="19"/>
        </w:numPr>
        <w:rPr>
          <w:rFonts w:ascii="Arial" w:cs="Arial" w:eastAsia="Arial" w:hAnsi="Arial"/>
          <w:sz w:val="16"/>
          <w:szCs w:val="16"/>
          <w:color w:val="auto"/>
          <w:vertAlign w:val="superscript"/>
        </w:rPr>
      </w:pPr>
      <w:r>
        <w:rPr>
          <w:rFonts w:ascii="Arial" w:cs="Arial" w:eastAsia="Arial" w:hAnsi="Arial"/>
          <w:sz w:val="16"/>
          <w:szCs w:val="16"/>
          <w:color w:val="auto"/>
        </w:rPr>
        <w:t>For the year ended December 31, 2017, we recorded a $93.1 million non-cash expense to reduce the carrying value to fair value of one of our U.S. alternative Affiliates accounted for under the equity method, which reduced intangible-related deferred taxes by $35.7 million. For the year ended December 31, 2018, we recognized a $33.3 million non-cash expense to reduce the carrying value of this equity method investment to zero and recognized a tax loss on its liquidation, which resulted in a $19.9 million net increase in intangible-related deferred taxes.</w:t>
      </w:r>
    </w:p>
    <w:p>
      <w:pPr>
        <w:spacing w:after="0" w:line="154"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19"/>
        </w:numPr>
        <w:rPr>
          <w:rFonts w:ascii="Arial" w:cs="Arial" w:eastAsia="Arial" w:hAnsi="Arial"/>
          <w:sz w:val="17"/>
          <w:szCs w:val="17"/>
          <w:color w:val="auto"/>
          <w:vertAlign w:val="superscript"/>
        </w:rPr>
      </w:pPr>
      <w:r>
        <w:rPr>
          <w:rFonts w:ascii="Arial" w:cs="Arial" w:eastAsia="Arial" w:hAnsi="Arial"/>
          <w:sz w:val="17"/>
          <w:szCs w:val="17"/>
          <w:color w:val="auto"/>
        </w:rPr>
        <w:t>During 2016, 2017 and 2018, Other economic items were net of income tax expense of $1.5 million, $5.8 million and $0.8 million, respectively.</w:t>
      </w:r>
    </w:p>
    <w:p>
      <w:pPr>
        <w:spacing w:after="0" w:line="236" w:lineRule="exact"/>
        <w:rPr>
          <w:rFonts w:ascii="Arial" w:cs="Arial" w:eastAsia="Arial" w:hAnsi="Arial"/>
          <w:sz w:val="17"/>
          <w:szCs w:val="17"/>
          <w:color w:val="auto"/>
          <w:vertAlign w:val="superscript"/>
        </w:rPr>
      </w:pPr>
    </w:p>
    <w:p>
      <w:pPr>
        <w:ind w:left="340" w:hanging="332"/>
        <w:spacing w:after="0"/>
        <w:tabs>
          <w:tab w:leader="none" w:pos="340" w:val="left"/>
        </w:tabs>
        <w:numPr>
          <w:ilvl w:val="0"/>
          <w:numId w:val="19"/>
        </w:numPr>
        <w:rPr>
          <w:rFonts w:ascii="Arial" w:cs="Arial" w:eastAsia="Arial" w:hAnsi="Arial"/>
          <w:sz w:val="18"/>
          <w:szCs w:val="18"/>
          <w:color w:val="auto"/>
          <w:vertAlign w:val="superscript"/>
        </w:rPr>
      </w:pPr>
      <w:r>
        <w:rPr>
          <w:rFonts w:ascii="Arial" w:cs="Arial" w:eastAsia="Arial" w:hAnsi="Arial"/>
          <w:sz w:val="18"/>
          <w:szCs w:val="18"/>
          <w:color w:val="auto"/>
        </w:rPr>
        <w:t>See note (1) to the table in “Adjusted EBITDA (controlling interest).”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2018, we met our cash requirements through cash generated by operating activities. Our principal uses of cash during the year were, and for the foreseeable future are expected to be, for repurchases of common stock, distributions to Affiliate equity holders, repayments of senior debt, the payment of cash dividends on our common stock, repurchases of Affiliate equity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interests and general working capital purposes. We also expect that principal uses of cash will be for investments in new and existing Affiliates. We anticipate that cash flows from operations, together with borrowings under our revolver, will be sufficient to support our cash flow needs for the foreseeable future. In addition, we may draw funding from the debt and equity capital markets, and our credit ratings, among other factors, allow us to access these sources of funding on favorable terms. We are currently rated A3 by Moody’s Investors Service and A- by S&amp;P Global Ratings.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Cash and cash equivalents were $565.5 million and $439.5 million at December 31, 2018 and 2017, respectively. The following table presents our operating, investing and financing cash flow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1,140.6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w:t>
      </w:r>
    </w:p>
    <w:p>
      <w:pPr>
        <w:spacing w:after="0" w:line="27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8"/>
          <w:szCs w:val="18"/>
          <w:color w:val="auto"/>
        </w:rPr>
        <w:t>Operating cash flows decreased $29.8 million in 2018</w:t>
      </w:r>
      <w:r>
        <w:rPr>
          <w:rFonts w:ascii="Arial" w:cs="Arial" w:eastAsia="Arial" w:hAnsi="Arial"/>
          <w:sz w:val="19"/>
          <w:szCs w:val="19"/>
          <w:color w:val="auto"/>
        </w:rPr>
        <w:t>,</w:t>
      </w:r>
      <w:r>
        <w:rPr>
          <w:rFonts w:ascii="Arial" w:cs="Arial" w:eastAsia="Arial" w:hAnsi="Arial"/>
          <w:sz w:val="18"/>
          <w:szCs w:val="18"/>
          <w:color w:val="auto"/>
        </w:rPr>
        <w:t xml:space="preserve"> primarily due to a $137.0 million increase in net purchases of securities by Affiliate sponsored consolidated products. This decrease was partially offset by a $42.3 million increase in Net income as adjusted for non-cash items and a $36.5 million increase in distributions received from equity method investments. In 2018, approximately 70% of operating cash flows were attributable to the controlling interest.</w:t>
      </w:r>
    </w:p>
    <w:p>
      <w:pPr>
        <w:spacing w:after="0" w:line="9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Operating cash flows increased $120.1 million in 2017, primarily due to a $83.4 million increase in distributions received from equity method investments. In 2017, approximately 70% of operating cash flows were attributable to the controlling interest.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Cash Flow</w:t>
      </w:r>
    </w:p>
    <w:p>
      <w:pPr>
        <w:spacing w:after="0" w:line="2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Investing cash flows decreased $32.0 million in 2018, primarily due to a $55.1 million decrease in net sales of investment securities, partially offset by a $23.3 million decrease in investments in Affiliates. These changes were primarily attributable to the controlling interest.</w:t>
      </w:r>
    </w:p>
    <w:p>
      <w:pPr>
        <w:spacing w:after="0" w:line="2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Investing cash flows increased $1.3 billion in 2017, primarily due to a $1.3 billion decrease in cash used to make investments in Affiliates attributable to the 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Cash Flow</w:t>
      </w:r>
    </w:p>
    <w:p>
      <w:pPr>
        <w:spacing w:after="0" w:line="2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Financing cash flows increased $206.6 million in 2018. This increase was primarily due to a $229.4 million decrease in net repayments of senior bank debt and senior notes, which was partially offset by a $112.6 million increase in repurchases of our common stock, all of which were attributable to the controlling interest. This increase was also due to a $130.1 million increase in subscriptions to Affiliate sponsored consolidated products, net of redemptions, which were primarily attributable to the non-controlling interests.</w:t>
      </w:r>
    </w:p>
    <w:p>
      <w:pPr>
        <w:spacing w:after="0" w:line="241"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Financing cash flows decreased $1.4 billion in 2017. This decrease was primarily due to a $485.0 million change in senior debt activity (from $225.0 million of net borrowings in 2016 to $260.0 million of net repayments in 2017), a $423.9 million decrease in proceeds from the issuance of common stock and a $359.8 million increase in the repurchase of our common stock, all of which were attributable to the 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Debt and Convertible Securities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outstanding indebtedness: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bank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746.2</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312.5</w:t>
            </w:r>
          </w:p>
        </w:tc>
      </w:tr>
      <w:tr>
        <w:trPr>
          <w:trHeight w:val="27"/>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Bank Debt</w:t>
      </w:r>
    </w:p>
    <w:p>
      <w:pPr>
        <w:spacing w:after="0" w:line="14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have a senior unsecured multicurrency revolving credit facility (the “revolver”), which, as of December 31, 2018, had $1.45 billion in borrowing capacity and outstanding borrowings of $330.0 million. We also have a senior unsecured term loan facility (the “term loan” and, together with the revolver, the “credit facilities”), which, as of December 31, 2018, had outstanding borrowings of $450.0 million. As of December 31, 2018, we had approximately $1 billion of remaining capacity under our revolver, and could borrow all such capacity and remain in compliance with our credit facilities.</w:t>
      </w:r>
    </w:p>
    <w:p>
      <w:pPr>
        <w:spacing w:after="0" w:line="15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Affiliate equity expense are added back to EBITDA. As of December 31, 2018, our bank leverage and bank interest coverage ratios were 1.4x and 13.5x, respectively, and we were in compliance with all of the terms of our credit facilities.</w:t>
      </w:r>
    </w:p>
    <w:p>
      <w:pPr>
        <w:spacing w:after="0" w:line="188" w:lineRule="exact"/>
        <w:rPr>
          <w:sz w:val="20"/>
          <w:szCs w:val="20"/>
          <w:color w:val="auto"/>
        </w:rPr>
      </w:pPr>
    </w:p>
    <w:p>
      <w:pPr>
        <w:ind w:left="40" w:right="60" w:firstLine="324"/>
        <w:spacing w:after="0" w:line="302" w:lineRule="auto"/>
        <w:rPr>
          <w:sz w:val="20"/>
          <w:szCs w:val="20"/>
          <w:color w:val="auto"/>
        </w:rPr>
      </w:pPr>
      <w:r>
        <w:rPr>
          <w:rFonts w:ascii="Arial" w:cs="Arial" w:eastAsia="Arial" w:hAnsi="Arial"/>
          <w:sz w:val="16"/>
          <w:szCs w:val="16"/>
          <w:color w:val="auto"/>
        </w:rPr>
        <w:t>On January 18, 2019, we amended and restated the credit facilities to provide for a $1.25 billion revolver and a $450.0 million term loan. The revolver matures on January 18, 2024 and the term loan matures on January 18, 2023. Subject to certain conditions, we may increase commitments under the revolver by up to an additional $500.0 million and may borrow up to an additional $75.0 million under the term loan. We pay interest on any outstanding obligations under the amended and restated credit facilities at specified rates, based either on the applicable LIBOR rate or the prime rate as in effect from time to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4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2017, we redeemed, canceled and retired all $200.0 million principal amount outstanding of our 6.375% senior unsecured notes due 2042 at a redemption price equal to 100% of the principal amount. At December 31, 2018, we had two senior notes outstanding, the respective principal terms of which are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2025</w:t>
            </w: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Senior</w:t>
            </w:r>
          </w:p>
        </w:tc>
        <w:tc>
          <w:tcPr>
            <w:tcW w:w="220" w:type="dxa"/>
            <w:vAlign w:val="bottom"/>
          </w:tcPr>
          <w:p>
            <w:pPr>
              <w:spacing w:after="0"/>
              <w:rPr>
                <w:sz w:val="12"/>
                <w:szCs w:val="12"/>
                <w:color w:val="auto"/>
              </w:rPr>
            </w:pPr>
          </w:p>
        </w:tc>
        <w:tc>
          <w:tcPr>
            <w:tcW w:w="13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Senior</w:t>
            </w:r>
          </w:p>
        </w:tc>
      </w:tr>
      <w:tr>
        <w:trPr>
          <w:trHeight w:val="192"/>
        </w:trPr>
        <w:tc>
          <w:tcPr>
            <w:tcW w:w="20" w:type="dxa"/>
            <w:vAlign w:val="bottom"/>
          </w:tcPr>
          <w:p>
            <w:pPr>
              <w:spacing w:after="0"/>
              <w:rPr>
                <w:sz w:val="16"/>
                <w:szCs w:val="16"/>
                <w:color w:val="auto"/>
              </w:rPr>
            </w:pPr>
          </w:p>
        </w:tc>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7"/>
              </w:rPr>
              <w:t>Notes</w:t>
            </w: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February 2014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5"/>
              </w:rPr>
              <w:t>February 2015</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22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February 2024</w:t>
            </w:r>
          </w:p>
        </w:tc>
        <w:tc>
          <w:tcPr>
            <w:tcW w:w="220" w:type="dxa"/>
            <w:vAlign w:val="bottom"/>
          </w:tcPr>
          <w:p>
            <w:pPr>
              <w:spacing w:after="0"/>
              <w:rPr>
                <w:sz w:val="21"/>
                <w:szCs w:val="21"/>
                <w:color w:val="auto"/>
              </w:rPr>
            </w:pP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August 2025</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call date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Any Time</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Any Time</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Par value (in millions)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350.0</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As Defined</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As Defined</w:t>
            </w:r>
          </w:p>
        </w:tc>
      </w:tr>
      <w:tr>
        <w:trPr>
          <w:trHeight w:val="243"/>
        </w:trPr>
        <w:tc>
          <w:tcPr>
            <w:tcW w:w="20" w:type="dxa"/>
            <w:vAlign w:val="bottom"/>
          </w:tcPr>
          <w:p>
            <w:pPr>
              <w:spacing w:after="0"/>
              <w:rPr>
                <w:sz w:val="21"/>
                <w:szCs w:val="21"/>
                <w:color w:val="auto"/>
              </w:rPr>
            </w:pPr>
          </w:p>
        </w:tc>
        <w:tc>
          <w:tcPr>
            <w:tcW w:w="816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Semi-annually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8"/>
              </w:rPr>
              <w:t>Semi-annually</w:t>
            </w:r>
          </w:p>
        </w:tc>
      </w:tr>
      <w:tr>
        <w:trPr>
          <w:trHeight w:val="182"/>
        </w:trPr>
        <w:tc>
          <w:tcPr>
            <w:tcW w:w="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82" w:lineRule="exact"/>
        <w:rPr>
          <w:sz w:val="20"/>
          <w:szCs w:val="20"/>
          <w:color w:val="auto"/>
        </w:rPr>
      </w:pPr>
    </w:p>
    <w:p>
      <w:pPr>
        <w:ind w:left="340" w:right="100" w:hanging="332"/>
        <w:spacing w:after="0" w:line="259" w:lineRule="auto"/>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8"/>
          <w:szCs w:val="18"/>
          <w:color w:val="auto"/>
        </w:rPr>
        <w:t>The senior notes may be redeemed at any time, in whole or in part,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Convertible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At December 31, 2018, we had junior convertible trust preferred securities outstanding (the “junior convertible securities”) with a carrying value of $312.5 million. The carrying value is accreted to the principal amount at maturity ($430.8 million) over a remaining life of approximately 19 years. The junior convertible securities bear interest at 5.15% per annum, payable quarterly in cash. Effective August 10, 2018 and in accordance with the convertible securities indenture, we adjusted the conversion rate of the junior convertible securities from 0.2500 shares of common stock to 0.2525 shares of common stock per $50.00 junior convertible security, equivalent to an adjusted conversion price of $198.02 per share of common stock. The adjustment was the result of our cumulative declared dividends on our common stock since the initiation of our dividend through August 2018. Holders of the junior convertible securities have no rights to put these securities to us. Upon conversion, holders will receive cash or shares of our common stock, or a combination thereof, at our election. We may redeem the junior convertible securities if the closing price of our common stock exceeds $257.43 per share for 20 trading days in a period of 30 consecutive trading days. The junior convertible securities are considered contingent payment debt instruments under federal income tax regulations, which require us to deduct interest in an amount greater than our reported interest expense. These deductions result in annual deferred tax liabilities of $7.8 million. These deferred tax liabilities will be reclassified directly to stockholders’ equity if our common stock is trading above certain thresholds at the time of the conversion of the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4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have equity distribution and forward equity agreements with several major securities firms under which we, from time to time, may issue and sell shares of our common stock (immediately or on a forward basis) having an aggregate sales price of up to $500.0 million (the “equity distribution program”). As of December 31, 2018, no sales had occurred under the equity distribution program.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4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2018, we entered into two separate pound sterling-denominated forward foreign currency contracts (the “forward contracts”) with a large financial institution (the “counterparty”) to access lower interest rates. In order to limit our exposure to both gains and losses on the forward contracts, we concurrently entered into two separate collar contracts (the “collar contracts”) with the same counterparty for the same notional amounts and expiration dates as the forward contracts. Under one of the forward contracts, we will deliver £285.8 million for $400.0 million in 2024, and under the other forward contract, we will deliver £325.3 million for $450.0 million in 2021. Under one of the collar contracts, we sold a put option with a lower strike price of 1.288 U.S. dollars per one pound sterling and purchased a call option with an upper strike price of 1.535 U.S. dollars per one pound sterling. Under the other collar contract, we sold a put option with a lower strike price of 1.318 U.S. dollars per one pound sterling and purchased a call option with an upper strike price of 1.448 U.S. dollars per one pound sterling. The forward contracts and the collar contracts provide net settlement rights and require the parties to post collateral throughout the term of the contracts.</w:t>
      </w:r>
    </w:p>
    <w:p>
      <w:pPr>
        <w:spacing w:after="0" w:line="116"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The combination of the forward contracts and the collar contracts were designated as net investment hedges against fluctuations in foreign currency exchange rates on certain of our investments in Affiliates with the pound sterling as their functional currency. See Note 9 of our Consolidated Financial Statements 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Equity</w:t>
      </w:r>
    </w:p>
    <w:p>
      <w:pPr>
        <w:spacing w:after="0" w:line="2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Many of our consolidated Affiliate agreements provide us with a conditional right to call and Affiliate equity holders with the conditional right to put their Affiliate equity interests to us at certain intervals. For equity method Affiliates,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24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December 31, 2018, the current redemption value of $833.7 million for these interests (including $91.0 million of Affiliate sponsored consolidated products primarily attributable to third-party investors) has been presented as Redeemable non-controlling interests. Although the timing and amounts of these purchases are difficult to predict, we paid $120.0 million for repurchases and received $6.3 million for sales of Affiliate equity during 2018, and expect to repurchase a net total of approximately $100 million in 2019. In the event of a repurchase, we become the owner of the cash flow associated with the repurchased equity.</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of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7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Board of Directors authorized share repurchase programs in January 2019, January 2018 and January 2017, authorizing us to repurchase up to 3.3 million, 3.4 million and 1.9 million shares of our common stock, respectively, and these authorizations have no expiry. Purchases may be made from time to time, at management’s discretion, in the open market or in privately negotiated transactions, including through the use of derivative financial instruments and accelerated share repurchase programs. As of December 31, 2018, we had repurchased all of the shares of the January 2017 authorized amount. As of the January 2019 authorization, there were a total of 5.0 million shares remaining available for repurchase under the January 2019 and January 2018 programs.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presents our contractual obligations as of December 31, 2018. Contractual debt obligations include the cash payment of fixed interest.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Payments Due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2"/>
                <w:szCs w:val="22"/>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2"/>
                <w:szCs w:val="22"/>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2020-2021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r>
              <w:rPr>
                <w:rFonts w:ascii="Arial" w:cs="Arial" w:eastAsia="Arial" w:hAnsi="Arial"/>
                <w:sz w:val="18"/>
                <w:szCs w:val="18"/>
                <w:b w:val="1"/>
                <w:bCs w:val="1"/>
                <w:color w:val="auto"/>
                <w:vertAlign w:val="superscript"/>
              </w:rPr>
              <w:t>(1)</w:t>
            </w: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bank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Convertible securities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Leases</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Affiliate equity repurchase obligations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Contingent Obligations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payment arrangements</w:t>
            </w:r>
            <w:r>
              <w:rPr>
                <w:rFonts w:ascii="Arial" w:cs="Arial" w:eastAsia="Arial" w:hAnsi="Arial"/>
                <w:sz w:val="18"/>
                <w:szCs w:val="18"/>
                <w:color w:val="auto"/>
                <w:vertAlign w:val="superscript"/>
              </w:rPr>
              <w:t>(3)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line="257" w:lineRule="auto"/>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8"/>
          <w:szCs w:val="18"/>
          <w:color w:val="auto"/>
        </w:rPr>
        <w:t>This table does not include liabilities for commitments to co-invest in certain Affiliate sponsored investment products or uncertain tax positions of $131.0 million and $33.1 million, respectively. This table also does not include potential obligations relating to our derivative financial instruments or the potential obligation to purchase an additional interest in a non-U.S. alternative Affiliate accounted for under the equity method from a minority owner. See Notes 9 and 10 of our Consolidated Financial Statements for additional information. These items are excluded as we cannot predict the amount or timing of when such obligations will be paid.</w:t>
      </w:r>
    </w:p>
    <w:p>
      <w:pPr>
        <w:spacing w:after="0" w:line="188"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21"/>
        </w:numPr>
        <w:rPr>
          <w:rFonts w:ascii="Arial" w:cs="Arial" w:eastAsia="Arial" w:hAnsi="Arial"/>
          <w:sz w:val="17"/>
          <w:szCs w:val="17"/>
          <w:color w:val="auto"/>
          <w:vertAlign w:val="superscript"/>
        </w:rPr>
      </w:pPr>
      <w:r>
        <w:rPr>
          <w:rFonts w:ascii="Arial" w:cs="Arial" w:eastAsia="Arial" w:hAnsi="Arial"/>
          <w:sz w:val="17"/>
          <w:szCs w:val="17"/>
          <w:color w:val="auto"/>
        </w:rPr>
        <w:t>The controlling interest portion is $11.8 million through 2019, $20.8 million in 2020-2021, $16.9 million in 2022-2023 and $14.2 million thereafter.</w:t>
      </w:r>
    </w:p>
    <w:p>
      <w:pPr>
        <w:spacing w:after="0" w:line="236" w:lineRule="exact"/>
        <w:rPr>
          <w:rFonts w:ascii="Arial" w:cs="Arial" w:eastAsia="Arial" w:hAnsi="Arial"/>
          <w:sz w:val="17"/>
          <w:szCs w:val="17"/>
          <w:color w:val="auto"/>
          <w:vertAlign w:val="superscript"/>
        </w:rPr>
      </w:pPr>
    </w:p>
    <w:p>
      <w:pPr>
        <w:ind w:left="340" w:right="120" w:hanging="332"/>
        <w:spacing w:after="0" w:line="277" w:lineRule="auto"/>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8"/>
          <w:szCs w:val="18"/>
          <w:color w:val="auto"/>
        </w:rPr>
        <w:t>The contingent payment arrangements disclosed in the table represent the expected settlement amounts. The maximum settlement amount through 2020 is $152.5 million, and none thereafter.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28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are our critical accounting estimates and judgments used in the preparation of our Consolidated Financial Statements, and due to their nature, actual results could differ materially from the amounts reported.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79"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20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arrangements, when we issue or repurchase Affiliate equity interests and when we test our intangible assets or equity method investments for impairment.</w:t>
      </w:r>
    </w:p>
    <w:p>
      <w:pPr>
        <w:spacing w:after="0" w:line="23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determining fair values for which market prices or quotations are not readily available, we typically use valuation techniques, including discounted cash flow analyses, where we make assumptions about growth rates of assets under management, profitability and useful lives of existing and prospective client accounts. In these analyses, we also consider historical and current market multiples, tax benefits, credit risk, interest rates, tax rates, discount rates and discounts for lack of marketability. We consider the reasonableness of our assumptions by comparing our valuation conclusions to observed market transactions and, in certain instances, by consulting with third-party valuation firms.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We perform a qualitative impairment test at least annually to determine if the carrying value of our single reporting unit is in excess of its fair value. If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 We completed our annual goodwill impairment assessment as of September 30, 2018 and no impairment was identified. For purposes of our assessment, we considered various qualitative factors (including market multiples for asset management businesses) and determined that it was more-likely-than-not that the fair value of our reporting unit was greater than its respective carrying amount, including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2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Indefinite-lived intangible assets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24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perform indefinite-lived intangible asset impairment tests annually, or more frequently should circumstances suggest fair value has declined below the related carrying value. If we determine that the fair value has declined below our related carrying value, an expense is recognized to reduce the carrying value to its fair value. We completed our annual impairment assessment as of December 31, 2018 and no impairments were identified. For purposes of our assessment, we considered various qualitative factors (including market multiples) and determined that it was more-likely-than-not that the fair value of each asset was greater than its carrying amount.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2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Definite-lived intangible assets include investment advisory contracts between our Affiliates and their underlying investors, and are amortized over their expected period of economic benefit. We monitor the expected period of economic benefit of these assets and revise it, if necessary. We review historical and projected attrition rates and other events that may influence our projections of the future period of economic benefit that we will derive from these relationships. Significant judgment is required to estimate the period that these assets will contribute to our cash flows and the pattern over which these assets will provide an economic benefit.</w:t>
      </w:r>
    </w:p>
    <w:p>
      <w:pPr>
        <w:spacing w:after="0" w:line="2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perform definite-lived intangible asset impairment tests annually, or more frequently should circumstances suggest fair value has declined below the related carrying value. If we determine that the fair value has declined below our related carrying value, an expense is recognized to reduce the carrying value to its fair value. We assess each of our definite-lived acquired client relationships for impairment by comparing their carrying value to the projected undiscounted cash flows of the acquired</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client relationships. We completed our annual assessment as of December 31, 2018 and noted that projected undiscounted cash flows over the remaining life of each of these assets exceed their carrying value and, accordingly, no impairments were identified.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 in Affiliates</w:t>
      </w:r>
    </w:p>
    <w:p>
      <w:pPr>
        <w:spacing w:after="0" w:line="27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perform equity method investment impairment tests annually, or more frequently should circumstances suggest fair value may have declined below the related carrying value. Impairments are recognized when the fair value of the Affiliate has declined below its carrying value for a period we consider other-than-temporary. If we determine that a decline in fair value below our carrying value is other-than-temporary, the expense recognized reduces the carrying value of the Affiliate to its fair value.</w:t>
      </w:r>
    </w:p>
    <w:p>
      <w:pPr>
        <w:spacing w:after="0" w:line="10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For the year ended December 31, 2018, we determined that the fair value of one of our U.S. alternative Affiliates and one of our non-U.S. alternative Affiliates had declined below their respective carrying values. The decline in the fair values of these Affiliates was caused by the decline in assets under management as a result of client redemptions, coupled with recent negative investment returns, which resulted in a decrease of forecasted performance based fees for these Affiliates. For the U.S. alternative Affiliate, we recorded a $33.3 million expense to reduce the carrying value of this Affiliate to zero as the business was liquidated. For the non-U.S. alternative Affiliate, we determined fair value using a discounted cash flow analysis. The significant assumptions used in the cash flow analysis included a projected growth rate of 2.5%, discount rates of 11.0% and 20.0% for asset and performance based fees, respectively, and a market participant tax rate of 25.0%. We considered the decline in fair value of the non-U.S. alternative Affiliate to be other-than-temporary and, accordingly, recognized a $240.0 million expense to reduce the asset to fair value. For our remaining equity method investments in Affiliates, we completed our annual evaluation as of December 31, 2018 and no other impairments were identified.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9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income tax expense, deferred tax assets and liabilities and liabilities for unrecognized tax benefits reflect management’s best estimate of current and future taxes to be paid. We are subject to income taxes in the U.S. and certain foreign jurisdictions.</w:t>
      </w:r>
    </w:p>
    <w:p>
      <w:pPr>
        <w:spacing w:after="0" w:line="103"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recognized in income tax expense in the period in which the change in tax rates is enacted.</w:t>
      </w:r>
    </w:p>
    <w:p>
      <w:pPr>
        <w:spacing w:after="0" w:line="104"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Our principal deferred tax assets relate to deferred compensation, state and foreign operating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utilized to adjust the carrying values of deferred tax assets to the amount that is more-likely-than-not to be realized.</w:t>
      </w:r>
    </w:p>
    <w:p>
      <w:pPr>
        <w:spacing w:after="0" w:line="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 and Affiliate Equity</w:t>
      </w:r>
    </w:p>
    <w:p>
      <w:pPr>
        <w:spacing w:after="0" w:line="27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have share-based compensation arrangements covering directors, senior management and employees (including our Affiliates). We calculate share-based compensation using the fair value of the awards on the grant date. Our share-based compensation arrangements typically vest and become fully exercisable over three to five years of continued employment and, in some cases, are further subject to certain performance or market conditions. We recognize expense net of expected forfeitures on a straight-line basis over the requisite service period, including grants that are subject to graded vesting.</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estimate the fair value of stock option awards using the Black-Scholes option pricing model, which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restricted stock awards with performance conditions, we determine the fair value of the awards using our share price on the date of grant and the number of awards that are expected to be delivered. For awards with market conditions, the fair value of the award is determined using a Monte Carlo simulation with inputs for expected volatility, a risk-free rate and expected dividends. Our estimate of expected volatility is developed in a manner consistent with that of our stock options.</w:t>
      </w:r>
    </w:p>
    <w:p>
      <w:pPr>
        <w:spacing w:after="0" w:line="24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From time to time, we grant equity interests in our Affiliates to Affiliate partners and our officers, with vesting, forfeiture and repurchase terms established at the date of grant. The fair value of the equity interests is determined as of the date of grant using a discounted cash flow analysis. Key valuation assumptions include projected assets under management, fee rates, tax rates, discount rates and discounts for lack of marketability.</w:t>
      </w:r>
    </w:p>
    <w:p>
      <w:pPr>
        <w:spacing w:after="0" w:line="22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Redeemable non-controlling interests represent the currently redeemable value of Affiliate equity interests. We may pay for these Affiliate equity purchases in cash, shares of our common stock or other forms of consideration, at our election. We generally value these interests upon their transfer or repurchase by applying market multiples to cash flows, which is intended to represent fair value. The use of different assumptions could change the value of these interests, including the amount of compensation expense, if any, that we may report upon their transfer or repurchase.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 Market Price Risk</w:t>
      </w:r>
    </w:p>
    <w:p>
      <w:pPr>
        <w:spacing w:after="0" w:line="279"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color w:val="auto"/>
        </w:rPr>
        <w:t>Our Consolidated revenue and equity method revenue are derived primarily from asset based fees that are typically determined as a percentage of the value of a client’s assets under management. Such values are affected by changes in financial markets (including interest rates and foreign exchange rates) and, accordingly, declines in the financial markets may negatively impact our Consolidated revenue and equity method revenue.</w:t>
      </w:r>
    </w:p>
    <w:p>
      <w:pPr>
        <w:spacing w:after="0" w:line="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December 31, 2018, we estimate a proportional 1% increase or decrease in the value of our assets under management would have resulted in an annualized increase or decrease in asset based fees in Consolidated revenue of $18.3 million for our consolidated Affiliates and in equity method revenue of $18.0 million for our equity method Affiliates. This proportional increase or decrease excludes assets under management on which asset based fees are charged on committed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fixed rates of interest on our senior notes and on our junior convertible securities. While a change in market interest rates would not affect the interest expense incurred on our fixed rate securities, such a change may affect the fair value of these securities. We estimate that a 1% change in interest rates would have resulted in a net change in the fair value of our fixed rate securities of $78.4 million, as of December 31, 2018. We pay a variable rate of interest on our credit facilities. We estimate that a 1% increase in interest rates would have increased our annual interest expense on the outstanding balance under our credit facilities by $7.8 million, as of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Risk</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functional currency of most of our Affiliates is U.S. dollars. Certain of our Affiliates have a foreign currency as their functional currency, primarily pound sterling or Canadian dollars, and are impacted by movements in foreign currency exchange rates. In addition, the valuations of our foreign Affiliates with a non-U.S. dollar functional currency are impacted by fluctuations in foreign currency exchange rates, which are recorded as a component of stockholders’ equity. To illustrate the effect of possible changes in foreign currency exchange rates, we estimate a 1% change in the pound sterling and Canadian dollar to U.S. dollar exchange rates would have resulted in changes to stockholders’ equity of $3.8 million and $2.0 million, respectively, based on the December 31, 2018 carrying value of these Affiliates and annual changes to Income before income taxes (controlling interest) of $1.1 million and $0.3 million,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Risk</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From time to time, we and our Affiliates seek to offset exposure to changes in interest rates, foreign currency exchange rates and markets by entering into derivative financial instruments. There can be no assurance that our or our Affiliates’ derivative financial instruments will meet their overall objective or that we or our Affiliates will be successful in entering into such instruments in the future. Further, if our or our Affiliates’ derivative counterparties fail to honor their obligations in a timely manner, including any obligations to return posted collateral, our financial condition and results of operations could be adversely impacted.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2018, we entered into derivative financial instruments to mitigate the potential risk of changes in foreign currency exchange rates. See Note 9 of our Consolidated Financial Statements for additional information.</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125" w:right="4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24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December 31, 2018,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has determined that the Company’s internal control over financial reporting as of December 31, 2018 was effective.</w:t>
      </w:r>
    </w:p>
    <w:p>
      <w:pPr>
        <w:spacing w:after="0" w:line="241"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The Company’s internal control over financial reporting as of December 31, 2018 has been audited by PricewaterhouseCoopers LLP,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2018.</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Affiliated Managers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We have audited the accompanying consolidated balance sheets of Affiliated Managers Group, Inc. and its subsidiaries (the “Company”) as of December 31, 2018 and 2017, and the related consolidated statements of income, comprehensive income, changes in equity and cash flows for each of the three years in the period ended December 31, 2018, including the related notes and financial statement schedule listed in the index appearing under Item 15(a)(2)</w:t>
      </w:r>
    </w:p>
    <w:p>
      <w:pPr>
        <w:ind w:right="60"/>
        <w:spacing w:after="0" w:line="255" w:lineRule="auto"/>
        <w:rPr>
          <w:sz w:val="20"/>
          <w:szCs w:val="20"/>
          <w:color w:val="auto"/>
        </w:rPr>
      </w:pPr>
      <w:r>
        <w:rPr>
          <w:rFonts w:ascii="Arial" w:cs="Arial" w:eastAsia="Arial" w:hAnsi="Arial"/>
          <w:sz w:val="18"/>
          <w:szCs w:val="18"/>
          <w:color w:val="auto"/>
        </w:rPr>
        <w:t>(collectively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9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2,378.4</w:t>
            </w:r>
          </w:p>
        </w:tc>
      </w:tr>
      <w:tr>
        <w:trPr>
          <w:trHeight w:val="324"/>
        </w:trPr>
        <w:tc>
          <w:tcPr>
            <w:tcW w:w="6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Compensation and related expenses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987.2</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417.7</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Intangible amortization and impairments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114.8</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Depreciation and other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37"/>
        </w:trPr>
        <w:tc>
          <w:tcPr>
            <w:tcW w:w="6680" w:type="dxa"/>
            <w:vAlign w:val="bottom"/>
          </w:tcPr>
          <w:p>
            <w:pPr>
              <w:ind w:left="280"/>
              <w:spacing w:after="0"/>
              <w:rPr>
                <w:sz w:val="20"/>
                <w:szCs w:val="20"/>
                <w:color w:val="auto"/>
              </w:rPr>
            </w:pPr>
            <w:r>
              <w:rPr>
                <w:rFonts w:ascii="Arial" w:cs="Arial" w:eastAsia="Arial" w:hAnsi="Arial"/>
                <w:sz w:val="18"/>
                <w:szCs w:val="18"/>
                <w:color w:val="auto"/>
              </w:rPr>
              <w:t>Total consolidated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1,692.0</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Equity method income (loss) (net)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Investment and other income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713.6</w:t>
            </w:r>
          </w:p>
        </w:tc>
      </w:tr>
      <w:tr>
        <w:trPr>
          <w:trHeight w:val="324"/>
        </w:trPr>
        <w:tc>
          <w:tcPr>
            <w:tcW w:w="6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532.3</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38"/>
        </w:trPr>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Net income (non-controlling interests)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(288.7)</w:t>
            </w:r>
          </w:p>
        </w:tc>
      </w:tr>
      <w:tr>
        <w:trPr>
          <w:trHeight w:val="27"/>
        </w:trPr>
        <w:tc>
          <w:tcPr>
            <w:tcW w:w="6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6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Average shares outstanding (diluted)</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53.8</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Earnings per share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4.55</w:t>
            </w:r>
          </w:p>
        </w:tc>
      </w:tr>
      <w:tr>
        <w:trPr>
          <w:trHeight w:val="27"/>
        </w:trPr>
        <w:tc>
          <w:tcPr>
            <w:tcW w:w="6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r>
      <w:tr>
        <w:trPr>
          <w:trHeight w:val="27"/>
        </w:trPr>
        <w:tc>
          <w:tcPr>
            <w:tcW w:w="6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w w:val="96"/>
              </w:rPr>
              <w:t>Change in net realized and unrealized gain (loss) on derivative financial instruments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net unrealized gain (loss) on investment securities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(273.7)</w:t>
            </w:r>
          </w:p>
        </w:tc>
      </w:tr>
      <w:tr>
        <w:trPr>
          <w:trHeight w:val="27"/>
        </w:trPr>
        <w:tc>
          <w:tcPr>
            <w:tcW w:w="6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(controlling interest)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156.4</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par value)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439.5</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Investments in marketable securities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2,633.4</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Acquired client relationships (net)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1,449.7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in Affiliates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2,791.0</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8,702.1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8,219.1</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and accrued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Senior bank debt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779.7</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Convertible securities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3,250.5</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Common stock ($0.01 par value, 153.0 shares authorized; 58.5 shares outstanding in 2017 and 2018)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835.6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4,604.0</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Less: Treasury stock, at cost (3.4 shares in 2017 and 6.5 shares in 2018)</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3,457.4</w:t>
            </w:r>
          </w:p>
        </w:tc>
        <w:tc>
          <w:tcPr>
            <w:tcW w:w="0" w:type="dxa"/>
            <w:vAlign w:val="bottom"/>
          </w:tcPr>
          <w:p>
            <w:pPr>
              <w:spacing w:after="0"/>
              <w:rPr>
                <w:sz w:val="1"/>
                <w:szCs w:val="1"/>
                <w:color w:val="auto"/>
              </w:rPr>
            </w:pP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4,578.5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257"/>
        </w:trPr>
        <w:tc>
          <w:tcPr>
            <w:tcW w:w="816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8,702.1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8,219.1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125" w:right="4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Total Stockholders’ Equity</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3"/>
                <w:szCs w:val="13"/>
                <w:color w:val="auto"/>
              </w:rPr>
            </w:pPr>
          </w:p>
        </w:tc>
        <w:tc>
          <w:tcPr>
            <w:tcW w:w="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Stock at</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Interests</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694.9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5"/>
              </w:rPr>
              <w:t>$2,581.6</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(421.9)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932.0</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$3,769.1</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472.8</w:t>
            </w:r>
          </w:p>
        </w:tc>
        <w:tc>
          <w:tcPr>
            <w:tcW w:w="12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739.0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Shares repurchases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Forward equity</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Common stock issued under forward equity agreement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440.3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440.3</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and other</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Affiliate equity activity:</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Issuances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3660" w:type="dxa"/>
            <w:vAlign w:val="bottom"/>
          </w:tcPr>
          <w:p>
            <w:pPr>
              <w:ind w:left="180"/>
              <w:spacing w:after="0" w:line="157" w:lineRule="exact"/>
              <w:rPr>
                <w:sz w:val="20"/>
                <w:szCs w:val="20"/>
                <w:color w:val="auto"/>
              </w:rPr>
            </w:pPr>
            <w:r>
              <w:rPr>
                <w:rFonts w:ascii="Arial" w:cs="Arial" w:eastAsia="Arial" w:hAnsi="Arial"/>
                <w:sz w:val="14"/>
                <w:szCs w:val="14"/>
                <w:color w:val="auto"/>
              </w:rPr>
              <w:t>Changes in redemption value of Redeemable non-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controlling interests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Capital contributions by Affiliate equity holders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December 31, 2016</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8"/>
              </w:rPr>
              <w:t>1,073.5</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(122.9)</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5"/>
              </w:rPr>
              <w:t>$3,054.4</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 (386.0)</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806.9</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$4,426.5</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689.5</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1,008.7</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Dividends ($0.80 per share)</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and other</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Affiliate equity activity:</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Issuances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57"/>
        </w:trPr>
        <w:tc>
          <w:tcPr>
            <w:tcW w:w="3660" w:type="dxa"/>
            <w:vAlign w:val="bottom"/>
          </w:tcPr>
          <w:p>
            <w:pPr>
              <w:ind w:left="180"/>
              <w:spacing w:after="0" w:line="157" w:lineRule="exact"/>
              <w:rPr>
                <w:sz w:val="20"/>
                <w:szCs w:val="20"/>
                <w:color w:val="auto"/>
              </w:rPr>
            </w:pPr>
            <w:r>
              <w:rPr>
                <w:rFonts w:ascii="Arial" w:cs="Arial" w:eastAsia="Arial" w:hAnsi="Arial"/>
                <w:sz w:val="14"/>
                <w:szCs w:val="14"/>
                <w:color w:val="auto"/>
              </w:rPr>
              <w:t>Changes in redemption value of Redeemable non-</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180"/>
              <w:spacing w:after="0"/>
              <w:rPr>
                <w:sz w:val="20"/>
                <w:szCs w:val="20"/>
                <w:color w:val="auto"/>
              </w:rPr>
            </w:pPr>
            <w:r>
              <w:rPr>
                <w:rFonts w:ascii="Arial" w:cs="Arial" w:eastAsia="Arial" w:hAnsi="Arial"/>
                <w:sz w:val="14"/>
                <w:szCs w:val="14"/>
                <w:color w:val="auto"/>
              </w:rPr>
              <w:t>controlling interests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64"/>
        </w:trPr>
        <w:tc>
          <w:tcPr>
            <w:tcW w:w="3660" w:type="dxa"/>
            <w:vAlign w:val="bottom"/>
          </w:tcPr>
          <w:p>
            <w:pPr>
              <w:ind w:left="180"/>
              <w:spacing w:after="0"/>
              <w:rPr>
                <w:sz w:val="20"/>
                <w:szCs w:val="20"/>
                <w:color w:val="auto"/>
              </w:rPr>
            </w:pPr>
            <w:r>
              <w:rPr>
                <w:rFonts w:ascii="Arial" w:cs="Arial" w:eastAsia="Arial" w:hAnsi="Arial"/>
                <w:sz w:val="14"/>
                <w:szCs w:val="14"/>
                <w:color w:val="auto"/>
              </w:rPr>
              <w:t>Capital contributions by Affiliate equity holders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December 31, 2017</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808.6</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5"/>
              </w:rPr>
              <w:t>$3,698.5</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 (663.7)</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756.3</w:t>
            </w:r>
          </w:p>
        </w:tc>
        <w:tc>
          <w:tcPr>
            <w:tcW w:w="120" w:type="dxa"/>
            <w:vAlign w:val="bottom"/>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$4,578.5</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243.6</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64"/>
        </w:trPr>
        <w:tc>
          <w:tcPr>
            <w:tcW w:w="3660" w:type="dxa"/>
            <w:vAlign w:val="bottom"/>
          </w:tcPr>
          <w:p>
            <w:pPr>
              <w:ind w:left="40"/>
              <w:spacing w:after="0"/>
              <w:rPr>
                <w:sz w:val="20"/>
                <w:szCs w:val="20"/>
                <w:color w:val="auto"/>
              </w:rPr>
            </w:pPr>
            <w:r>
              <w:rPr>
                <w:rFonts w:ascii="Arial" w:cs="Arial" w:eastAsia="Arial" w:hAnsi="Arial"/>
                <w:sz w:val="14"/>
                <w:szCs w:val="14"/>
                <w:color w:val="auto"/>
              </w:rPr>
              <w:t>Common stock issued under share-based incentive plans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219"/>
          </w:cols>
          <w:pgMar w:left="240" w:top="125" w:right="1440"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40" w:type="dxa"/>
            <w:vAlign w:val="bottom"/>
          </w:tcPr>
          <w:p>
            <w:pPr>
              <w:ind w:left="40"/>
              <w:spacing w:after="0"/>
              <w:rPr>
                <w:sz w:val="20"/>
                <w:szCs w:val="20"/>
                <w:color w:val="auto"/>
              </w:rPr>
            </w:pPr>
            <w:r>
              <w:rPr>
                <w:rFonts w:ascii="Arial" w:cs="Arial" w:eastAsia="Arial" w:hAnsi="Arial"/>
                <w:sz w:val="14"/>
                <w:szCs w:val="14"/>
                <w:color w:val="auto"/>
              </w:rPr>
              <w:t>Dividends ($1.20 per share)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(65.3)</w:t>
            </w: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 and other</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Affiliate equity activity:</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compensation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Issuances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157"/>
        </w:trPr>
        <w:tc>
          <w:tcPr>
            <w:tcW w:w="3640" w:type="dxa"/>
            <w:vAlign w:val="bottom"/>
          </w:tcPr>
          <w:p>
            <w:pPr>
              <w:ind w:left="180"/>
              <w:spacing w:after="0" w:line="157" w:lineRule="exact"/>
              <w:rPr>
                <w:sz w:val="20"/>
                <w:szCs w:val="20"/>
                <w:color w:val="auto"/>
              </w:rPr>
            </w:pPr>
            <w:r>
              <w:rPr>
                <w:rFonts w:ascii="Arial" w:cs="Arial" w:eastAsia="Arial" w:hAnsi="Arial"/>
                <w:sz w:val="14"/>
                <w:szCs w:val="14"/>
                <w:color w:val="auto"/>
              </w:rPr>
              <w:t>Changes in redemption value of Redeemable non-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8"/>
        </w:trPr>
        <w:tc>
          <w:tcPr>
            <w:tcW w:w="3640" w:type="dxa"/>
            <w:vAlign w:val="bottom"/>
          </w:tcPr>
          <w:p>
            <w:pPr>
              <w:ind w:left="180"/>
              <w:spacing w:after="0"/>
              <w:rPr>
                <w:sz w:val="20"/>
                <w:szCs w:val="20"/>
                <w:color w:val="auto"/>
              </w:rPr>
            </w:pPr>
            <w:r>
              <w:rPr>
                <w:rFonts w:ascii="Arial" w:cs="Arial" w:eastAsia="Arial" w:hAnsi="Arial"/>
                <w:sz w:val="14"/>
                <w:szCs w:val="14"/>
                <w:color w:val="auto"/>
              </w:rPr>
              <w:t>controlling interests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76"/>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to Redeemable non-controlling interests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264"/>
        </w:trPr>
        <w:tc>
          <w:tcPr>
            <w:tcW w:w="3640" w:type="dxa"/>
            <w:vAlign w:val="bottom"/>
          </w:tcPr>
          <w:p>
            <w:pPr>
              <w:ind w:left="180"/>
              <w:spacing w:after="0"/>
              <w:rPr>
                <w:sz w:val="20"/>
                <w:szCs w:val="20"/>
                <w:color w:val="auto"/>
              </w:rPr>
            </w:pPr>
            <w:r>
              <w:rPr>
                <w:rFonts w:ascii="Arial" w:cs="Arial" w:eastAsia="Arial" w:hAnsi="Arial"/>
                <w:sz w:val="14"/>
                <w:szCs w:val="14"/>
                <w:color w:val="auto"/>
              </w:rPr>
              <w:t>Capital contributions by Affiliate equity holders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17.8</w:t>
            </w:r>
          </w:p>
        </w:tc>
      </w:tr>
      <w:tr>
        <w:trPr>
          <w:trHeight w:val="270"/>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w:t>
            </w:r>
          </w:p>
        </w:tc>
      </w:tr>
      <w:tr>
        <w:trPr>
          <w:trHeight w:val="243"/>
        </w:trPr>
        <w:tc>
          <w:tcPr>
            <w:tcW w:w="364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835.6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$3,876.8</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 (1,146.6)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677.5</w:t>
            </w:r>
          </w:p>
        </w:tc>
        <w:tc>
          <w:tcPr>
            <w:tcW w:w="12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$4,134.9</w:t>
            </w:r>
          </w:p>
        </w:tc>
      </w:tr>
      <w:tr>
        <w:trPr>
          <w:trHeight w:val="20"/>
        </w:trPr>
        <w:tc>
          <w:tcPr>
            <w:tcW w:w="3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5"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from (used in) operating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1,008.7</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flow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Intangible amortization and impairments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other amortization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Deferred income tax provision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method (income) loss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Distributions of earnings received from equity method investments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466.3</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and Affiliate equity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Other non-cash items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Purchases of securities by Affiliate sponsored consolidated products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of securities by Affiliate sponsored consolidated products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(Increase) decrease in receivables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in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Increase (decrease) in payables, accrued liabilities and other liabilities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56"/>
        </w:trPr>
        <w:tc>
          <w:tcPr>
            <w:tcW w:w="7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from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1,170.4</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1,140.6</w:t>
            </w:r>
          </w:p>
        </w:tc>
        <w:tc>
          <w:tcPr>
            <w:tcW w:w="0" w:type="dxa"/>
            <w:vAlign w:val="bottom"/>
          </w:tcPr>
          <w:p>
            <w:pPr>
              <w:spacing w:after="0"/>
              <w:rPr>
                <w:sz w:val="1"/>
                <w:szCs w:val="1"/>
                <w:color w:val="auto"/>
              </w:rPr>
            </w:pPr>
          </w:p>
        </w:tc>
      </w:tr>
      <w:tr>
        <w:trPr>
          <w:trHeight w:val="244"/>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Cash flow from (used in)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Purchase of fixed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investment securities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Sale of investment securities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56"/>
        </w:trPr>
        <w:tc>
          <w:tcPr>
            <w:tcW w:w="7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from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(1,332.2)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44"/>
        </w:trPr>
        <w:tc>
          <w:tcPr>
            <w:tcW w:w="7760" w:type="dxa"/>
            <w:vAlign w:val="bottom"/>
          </w:tcPr>
          <w:p>
            <w:pPr>
              <w:ind w:left="40"/>
              <w:spacing w:after="0"/>
              <w:rPr>
                <w:sz w:val="20"/>
                <w:szCs w:val="20"/>
                <w:color w:val="auto"/>
              </w:rPr>
            </w:pPr>
            <w:r>
              <w:rPr>
                <w:rFonts w:ascii="Arial" w:cs="Arial" w:eastAsia="Arial" w:hAnsi="Arial"/>
                <w:sz w:val="14"/>
                <w:szCs w:val="14"/>
                <w:b w:val="1"/>
                <w:bCs w:val="1"/>
                <w:color w:val="auto"/>
              </w:rPr>
              <w:t>Cash flow from (used in) 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of senior bank debt and senior notes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Repayments of senior bank debt and senior notes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(1,180.6)</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(505.8)</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Issuance of common stock</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Affiliate equity issuances and repurchases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Subscriptions to Affiliate sponsored consolidated products, net of redemptions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items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flow from (used in) financing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(983.1)</w:t>
            </w:r>
          </w:p>
        </w:tc>
        <w:tc>
          <w:tcPr>
            <w:tcW w:w="0" w:type="dxa"/>
            <w:vAlign w:val="bottom"/>
          </w:tcPr>
          <w:p>
            <w:pPr>
              <w:spacing w:after="0"/>
              <w:rPr>
                <w:sz w:val="1"/>
                <w:szCs w:val="1"/>
                <w:color w:val="auto"/>
              </w:rPr>
            </w:pPr>
          </w:p>
        </w:tc>
      </w:tr>
      <w:tr>
        <w:trPr>
          <w:trHeight w:val="25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Effect of foreign currency exchange rate changes on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Net cash outflows upon the consolidation and deconsolidation of Affiliate sponsored products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3"/>
        </w:trPr>
        <w:tc>
          <w:tcPr>
            <w:tcW w:w="7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Income taxes paid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non-cash 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Payables recorded for Affiliate equity repurchases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Payables recorded for share repurchases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4"/>
        </w:trPr>
        <w:tc>
          <w:tcPr>
            <w:tcW w:w="7760" w:type="dxa"/>
            <w:vAlign w:val="bottom"/>
          </w:tcPr>
          <w:p>
            <w:pPr>
              <w:ind w:left="180"/>
              <w:spacing w:after="0"/>
              <w:rPr>
                <w:sz w:val="20"/>
                <w:szCs w:val="20"/>
                <w:color w:val="auto"/>
              </w:rPr>
            </w:pPr>
            <w:r>
              <w:rPr>
                <w:rFonts w:ascii="Arial" w:cs="Arial" w:eastAsia="Arial" w:hAnsi="Arial"/>
                <w:sz w:val="14"/>
                <w:szCs w:val="14"/>
                <w:color w:val="auto"/>
              </w:rPr>
              <w:t>Stock issued upon vesting of restricted stock units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received for tax withholdings on share-based payments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58"/>
        </w:trPr>
        <w:tc>
          <w:tcPr>
            <w:tcW w:w="7760" w:type="dxa"/>
            <w:vAlign w:val="bottom"/>
          </w:tcPr>
          <w:p>
            <w:pPr>
              <w:ind w:left="180"/>
              <w:spacing w:after="0"/>
              <w:rPr>
                <w:sz w:val="20"/>
                <w:szCs w:val="20"/>
                <w:color w:val="auto"/>
              </w:rPr>
            </w:pPr>
            <w:r>
              <w:rPr>
                <w:rFonts w:ascii="Arial" w:cs="Arial" w:eastAsia="Arial" w:hAnsi="Arial"/>
                <w:sz w:val="14"/>
                <w:szCs w:val="14"/>
                <w:color w:val="auto"/>
              </w:rPr>
              <w:t>Stock received for the exercise of stock options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00"/>
          </w:cols>
          <w:pgMar w:left="240" w:top="125"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144"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Affiliated Managers Group, Inc. (“AMG” or the “Company”) is a global asset management company with equity investments in leading boutique investment management firms, referred to as “Affiliates.” The Company’s Affiliates provide active, return-oriented strategies to assist institutional, retail and high net worth clients worldwide in achieving their investment objectives. The Company operates in one segment, global active asset management.</w:t>
      </w:r>
    </w:p>
    <w:p>
      <w:pPr>
        <w:spacing w:after="0" w:line="20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w:t>
      </w:r>
    </w:p>
    <w:p>
      <w:pPr>
        <w:spacing w:after="0" w:line="23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a majority of the Company’s Affiliates, the Company uses structured partnership interests in which the Company contractually shares in the Affiliate’s revenue without regard to expenses. In this type of structured partnership interest, the Affiliate allocates a specified percentage of its revenue to the Company, while using the remainder of its revenue for operating expenses and for distributions to Affiliate management. The Company and Affiliate management, therefore, participate in any increase or decrease in revenue and Affiliate management participates in any increase or decrease in expenses. The Company’s contractual share of revenue generally has priority over the distributions to Affiliate management.</w:t>
      </w:r>
    </w:p>
    <w:p>
      <w:pPr>
        <w:spacing w:after="0" w:line="22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For other Affiliates, the Company uses structured partnership interests in which the Company contractually shares in the Affiliate’s revenue less agreed-upon expenses. This type of partnership interest allows the Company to benefit from any increase in revenue or any decrease in the agreed-upon expenses, but also exposes the Company to any decrease in revenue or any increase in such expenses. The degree of the Company’s exposure to expenses from these structured partnership interests varies by Affiliate and includes Affiliates in which the Company fully shares in the expenses of the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 and Use of Estimates</w:t>
      </w:r>
    </w:p>
    <w:p>
      <w:pPr>
        <w:spacing w:after="0" w:line="144"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financial statements are prepared in accordance with accounting principles generally accepted in the U.S. (“GAAP”). All dollar amounts, except per share data in the text and tables herein, are stated in millions unless otherwise indicated. All material intercompany balances and transactions have been eliminated. In 2018, the Company changed its Consolidated Financial Statement presentation to present non-classified Consolidated Statements of Income. This change and other reclassifications have been made to the prior period’s financial statements to conform to the current period’s presentation.</w:t>
      </w:r>
    </w:p>
    <w:p>
      <w:pPr>
        <w:spacing w:after="0" w:line="20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evaluating whether an investment must be consolidated, the Company evaluates the risk, rewards, and significant terms of each of its Affiliate and other investments to determine if an investment is considered a voting rights entity (“VRE”) or a variable interest entity (“VIE”). An entity is a VRE when the total equity investment at risk is sufficient to enable the entity to finance its activities independently,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consolidates VREs when it has control over significant operating, financial and investing decisions of the entity. When the Company lacks control, but is deemed to have significant influence, the Company accounts for the entity under the equity method. Other investments in which the Company does not have rights to exercise significant influence are recorded at fair value, with changes in fair value reflected within Investment and other income on the Consolidated Statements of Income.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The Company applies the equity method of accounting to VIEs where the Company is not the primary beneficiary, but has the ability to exercise significant influence over operating and financial matters of the VIE. See Note 4 for additional information about the Company’s VREs and VIEs.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44"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147" w:lineRule="exact"/>
        <w:rPr>
          <w:sz w:val="20"/>
          <w:szCs w:val="20"/>
          <w:color w:val="auto"/>
        </w:rPr>
      </w:pPr>
    </w:p>
    <w:p>
      <w:pPr>
        <w:ind w:right="120" w:firstLine="243"/>
        <w:spacing w:after="0" w:line="291" w:lineRule="auto"/>
        <w:rPr>
          <w:sz w:val="20"/>
          <w:szCs w:val="20"/>
          <w:color w:val="auto"/>
        </w:rPr>
      </w:pPr>
      <w:r>
        <w:rPr>
          <w:rFonts w:ascii="Arial" w:cs="Arial" w:eastAsia="Arial" w:hAnsi="Arial"/>
          <w:sz w:val="16"/>
          <w:szCs w:val="16"/>
          <w:color w:val="auto"/>
        </w:rPr>
        <w:t>When an Affiliate is consolidated, the portion of the earnings attributable to Affiliate managements’ equity ownership is included in Net income (non-controlling interests) in the Consolidated Statements of Income. Undistributed earnings attributable to Affiliate managements’ equity ownership,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on the Consolidated Balance Sheets. The Company periodically issues, sells and repurchases the Affiliate equity of its consolidated Affiliates. Because these transactions take place between entities under common control, any gains or losses attributable to these transactions are required to be included within Additional paid-in capital on the Consolidated Balance Sheets, net of any related income tax effects in the period the transactions occur.</w:t>
      </w:r>
    </w:p>
    <w:p>
      <w:pPr>
        <w:spacing w:after="0" w:line="8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When an Affiliate is accounted for under the equity method, the Company’s share of an Affiliate’s earnings or losses, net of amortization and impairments, is included in Equity method income (loss) (net) in the Consolidated Statements of Income and the carrying value of the Affiliate is reported in Equity method investments in Affiliates (net) in the Consolidated Balance Sheets. Any deferred taxes recorded upon acquisition of an equity method Affiliate are presented on a gross basis within Equity method investments in Affiliates (net) and Deferred income tax liability (net) in the Consolidated Balance Sheets. The Company’s share of income taxes incurred directly by Affiliates accounted for under the equity method is recorded within Income tax expense in the Consolidated Statements of Income.</w:t>
      </w:r>
    </w:p>
    <w:p>
      <w:pPr>
        <w:spacing w:after="0" w:line="2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periodically evaluates its equity method investments for impairment. In such impairment evaluations, the Company assesses whether or not the fair value of the investment has declined below its carrying value for a period considered to be other-than-temporary. If the Company determines that a decline in fair value below the carrying value of the investment is other-than-temporary, then the carrying value of the investment is reduced to its fair value and the expense is recorded in Equity method income (loss) (net).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4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Company’s Affiliates sponsor various investment products where they also act as the investment adviser. These investment products are typically owned primarily by third-party investors; however, certain products are funded with general partner and seed capital investments from the Company and its Affiliates.</w:t>
      </w:r>
    </w:p>
    <w:p>
      <w:pPr>
        <w:spacing w:after="0" w:line="181"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Third-party investors in Affiliate sponsored investment products are generally entitled to substantially all of the economics of these products, except for the asset and performance based fees earned by the Company’s Affiliates or any gains or losses attributable to the Company’s or its Affiliates’ investments in these products. As a result, the Company does not generally consolidate these products unless the Company’s or its consolidated Affiliates’ interest in the product is considered substantial. When the Company’s or its consolidated Affiliates’ interest is considered substantial and the products are consolidated,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reflected in Investment and other income. Purchases and sales of securities are presented within purchases and sales by Affiliate sponsored consolidated products in the Consolidated Statements of Cash Flows and the third-party investors’ interest is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144"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Receivables</w:t>
      </w:r>
    </w:p>
    <w:p>
      <w:pPr>
        <w:spacing w:after="0" w:line="14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Company’s Affiliates earn asset and performance based fees, which are billed based on the terms of the related contracts. Billed but uncollected asset and performance based fees are presented within Receivables on the Consolidated Balance Sheets and are generally short-term in nature.</w:t>
      </w:r>
    </w:p>
    <w:p>
      <w:pPr>
        <w:spacing w:after="0" w:line="17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spacing w:after="0" w:line="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Investments in Marketable Securities</w:t>
      </w:r>
    </w:p>
    <w:p>
      <w:pPr>
        <w:spacing w:after="0" w:line="144"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Realized and unrealized gains or losses on investments in marketable securities are reported within Investment and other income in the Consolidated Statements of Income. Realized gains and losses are recorded on the trade date on a specific identified basis, except for Affiliate sponsored consolidated products, which use an average cost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Fair Value Measurements</w:t>
      </w:r>
    </w:p>
    <w:p>
      <w:pPr>
        <w:spacing w:after="0" w:line="22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market prices for identical instruments in active markets;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or significant value drivers, are observable; and</w:t>
      </w:r>
    </w:p>
    <w:p>
      <w:pPr>
        <w:spacing w:after="0" w:line="170"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Level 3 - Prices that reflect the Company’s own assumptions concerning unobservable inputs to the valuation model. These inputs require significant management judgment and reflect the Company’s assumptions that the Company believes market participants would use in pricing the asset or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Acquired Client Relationships and Goodwill</w:t>
      </w:r>
    </w:p>
    <w:p>
      <w:pPr>
        <w:spacing w:after="0" w:line="144"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 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2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reviews these assets annually or more frequently whenever events or circumstances occur indicating that the recorded indefinite-lived assets may be impaired. Each reporting period, the Company assesses whether events or circumstances have occurred that indicate that the indefinite life criteria are no longer met. If the indefinite life criteria are no longer met, the Company would assess whether the carrying value of the assets exceeds its fair value, an expense would be recorded in an amount equal to any such excess and these assets would be reclassified to definite-lived.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expected period of economic benefit of definite-lived acquired client relationships are determined based on an analysis of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tests for the possible impairment of indefinite and definite-lived intangible assets annually or more frequently whenever events or changes in circumstances indicate that the carrying amount of the asset may not be recoverable. If such indicators exist, the Company compares the fair value of the asset to the carrying value of the asset. If the carrying value is greater than the fair value, an expense would be recorded in Intangible amortization and impairments in the Consolidated Statements of Income to reduce the carrying value of the asset to fair value.</w:t>
      </w:r>
    </w:p>
    <w:p>
      <w:pPr>
        <w:spacing w:after="0" w:line="22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Goodwill is not amortized, but is instead reviewed for impairment. The Company performs a qualitative impairment test at least annually to determine if the carrying value of its single reporting unit is in excess of its fair value. If a potential impairment is more likely than not, then the Company will perform a single step quantitative test with any excess of carrying value over fair value recorded as an expense in Intangible amortization and impairments.</w:t>
      </w:r>
    </w:p>
    <w:p>
      <w:pPr>
        <w:spacing w:after="0" w:line="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5"/>
          <w:szCs w:val="15"/>
          <w:i w:val="1"/>
          <w:iCs w:val="1"/>
          <w:color w:val="auto"/>
        </w:rPr>
        <w:t>Fixed Assets</w:t>
      </w:r>
    </w:p>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Fixed assets are recorded at cost and depreciated using the straight-line method over their estimated useful lives. The estimated useful lives of office equipment and furniture and fixtures range from three to ten years. Computer software developed or obtained for internal use is amortized over the estimated useful life of the software, generally three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spacing w:after="0" w:line="11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4"/>
          <w:szCs w:val="14"/>
          <w:i w:val="1"/>
          <w:iCs w:val="1"/>
          <w:color w:val="auto"/>
        </w:rPr>
        <w:t>Leases</w:t>
      </w:r>
    </w:p>
    <w:p>
      <w:pPr>
        <w:spacing w:after="0" w:line="14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and its Affiliates currently lease office space and equipment under various leasing arrangements. As these leases expire, it can be expected that in the normal course of business they will be renewed or replaced. Leases are classified as either capital leases or operating leases, as appropriate. Most lease agreements for office space that are classified as operating leases contain renewal options, rent escalation clauses or other inducements provided by the landlord. Rent expense is accrued to recognize lease escalation provisions and inducements provided by the landlord, if any, on a straight-line basis over the lease term and is reported in Other expenses (net) on the Consolidated Statements of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Issuance Costs</w:t>
      </w:r>
    </w:p>
    <w:p>
      <w:pPr>
        <w:spacing w:after="0" w:line="14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Issuance costs related to the Company’s senior bank debt are amortized over the remaining term of the senior unsecured multicurrency revolving credit facility (the “revolver”) and the senior unsecured term loan facility (the “term loan” and, together with the revolver, the “credit facilities”), which approximates the effective interest method. Issuance costs associated with the revolver are included in Other assets. Issuance costs associated with the term loan are included as a reduction of the related debt balance. Issuance costs associated with the Company’s senior notes are amortized over the shorter of the period to the first investor put date or the Company’s estimate of the expected term of the security, and are included as a reduction of the related debt balance in the Consolidated Balance Sheets. The expense resulting from the amortization of these issuance costs is reported in Interest expense in the Consolidated Statements of Income.</w:t>
      </w:r>
    </w:p>
    <w:p>
      <w:pPr>
        <w:spacing w:after="0" w:line="10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(l)</w:t>
      </w:r>
      <w:r>
        <w:rPr>
          <w:sz w:val="20"/>
          <w:szCs w:val="20"/>
          <w:color w:val="auto"/>
        </w:rPr>
        <w:tab/>
      </w:r>
      <w:r>
        <w:rPr>
          <w:rFonts w:ascii="Arial" w:cs="Arial" w:eastAsia="Arial" w:hAnsi="Arial"/>
          <w:sz w:val="16"/>
          <w:szCs w:val="16"/>
          <w:i w:val="1"/>
          <w:iCs w:val="1"/>
          <w:color w:val="auto"/>
        </w:rPr>
        <w:t>Derivative Financial Instruments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and its Affiliates may utilize derivative financial instruments to offset exposure to changes in interest rates, foreign currency exchange rates and markets. The Company records derivatives in the Consolidated Balance Sheets at fair value. If the Company’s or its Affiliates’ derivative financial instruments do not qualify as cash flow, net investment or fair value hedges, changes in the fair value of the derivatives are recognized as a gain or loss in Investment and other income.</w:t>
      </w:r>
    </w:p>
    <w:p>
      <w:pPr>
        <w:spacing w:after="0" w:line="187"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If the Company’s or its Affiliates’ derivative financial instruments qualify as cash flow or net investment hedges, the effective portion of the unrealized gain or loss is recorded in Other comprehensive income (loss) as a separate component of stockholders’ equity and reclassified to earnings with the hedged item. For cash flow hedges, hedge effectiveness is generally measured by comparing the present value of the cumulative change in the expected future cash flows of the hedged contract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the present value of the cumulative change in the expected future cash flows of the hedged item. For net investment hedges, hedge effectiveness is measured using the spot rate method. For fair value hedges, the entire change in the fair value of the hedging instrument is presented in earnings with the hedged item, unless the changes in fair value are not equal, which would result in hedge ineffectiveness. Any hedge ineffectiveness is recorded in Investment and other income. The Company assesses hedge effectiveness on a quarterly basis.</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Changes in fair value of a hedging instrument that are excluded from the assessment of hedge effectiveness, also known as excluded components, are amortized over the period of the designated hedge.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Revenue Recognition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Revenue primarily represents asset and performance based fees earned by the Company and its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 based fees ratably over time. Substantially all the Company’s asset based fees for services are based on the value of client assets over time, which are typically determined using observable market data. Services may be invoiced in advance or in arrears and are payable upon receipt. Any asset based fees collected in advance are deferred and recognized as the services are performed and consumed. Revenue recognized by the Company is adjusted for any expense reimbursement arrangements.</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Performance based fees, including carried interests, are recognized only upon the satisfaction of performance obligations, the resolution of any constraints (which may extend over one or more reporting periods) and when it is improbable that there will be a significant reversal in the amount of revenue recognized. As a result, any performance based fees or carried interest recognized in the current reporting period may relate to performance obligations satisfied in a previous reporting period.</w:t>
      </w:r>
    </w:p>
    <w:p>
      <w:pPr>
        <w:spacing w:after="0" w:line="18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Company and its Affiliates have contractual arrangements with third parties to provide distribution-related services. Fees received and expenses incurred under these arrangements are primarily based on the value of client assets over time. Distribution-related fees are presented in revenue gross of any related expenses when the Company and its Affiliates are the principal in its role as primary obligor under their distribution-related services arrangements. Distribution-related expenses are presented within Selling, general and administrative expenses in the Consolidated Statements of Income.</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Arrangements</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periodically enters into contingent payment arrangements in connection with its business combinations. In these arrangements, the Company agrees to pay additional consideration to the sellers to the extent that certain specified financial targets are achieved. For consolidated Affiliates, the Company estimates the fair value of these potential future obligations at the time a business combination is consummated and records a liability in Other liabilities on the Consolidated Balance Sheet.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reflected in Other expenses (net) and the accretion of these obligations to their expected payment amounts are reflected within Interest expense. For Affiliates accounted for under the equity method of accounting, the Company records a liability in Payables and accrued liabilities when a payment becomes probable, with a corresponding increase to the carrying value of the Affiliate in Equity method investments in Affiliates (net).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15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recognized in Income tax expense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period when the change is enacted.</w:t>
      </w:r>
    </w:p>
    <w:p>
      <w:pPr>
        <w:spacing w:after="0" w:line="15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Adjustments to the valuation allowance will increase or decrease Income tax expense.</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17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December 22, 2017, changes in U.S. tax laws were enacted, which significantly revised U.S. corporate income tax by, among other things, lowering corporate income tax rates, implementing a modified territorial tax system and imposing a one-time transition tax on deemed repatriated foreign earnings and profits. The U.S. Securities and Exchange Commission (the “SEC”) issued Staff Accounting Bulletin No. 118 to address the application of GAAP in situations when a company did not have the necessary information available, prepared or analyzed to complete the accounting for certain income tax effects of the changes in U.S. tax laws as of December 31, 2017 and allowed companies to record provisional amounts. Changes to provisional amounts or new amounts resulting from new guidance, interpretations or other information or from further evaluation of the impact of the changes in U.S. tax laws are recorded in subsequent reporting periods not to extend beyond one year from the enactment date. The Company finalized its accounting for the impact of changes in U.S. tax laws in the three months ended December 31, 2018. No significant adjustments to the provisional amount were made. The Company has elected to treat taxes due on U.S. inclusions in taxable income related to Global Intangible Low Taxed Income (“GILTI”) as a current period expense when incurred (the “period cost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144"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as a separate component of stockholders’ equity on the Consolidated Balance Sheets. Foreign currency transaction gains and losses are reflected in Investment and other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Concentration of Credit Risk</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exceed Federal Deposit Insurance Corporation insurance limits.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Earnings Per Share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calculation of basic earnings per share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0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had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Issuable shares for these securities and related interest expense are excluded from the calculation if an assumed conversion would be anti-dilutive to diluted earnings per share.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Share-Based Compensation Plans</w:t>
      </w:r>
    </w:p>
    <w:p>
      <w:pPr>
        <w:spacing w:after="0" w:line="14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recognizes expenses for all share-based payments based on their grant date fair values over the requisite service period. The Company records these expenses only for awards that are expected to vest.</w:t>
      </w:r>
    </w:p>
    <w:p>
      <w:pPr>
        <w:spacing w:after="0" w:line="2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Tax windfalls or shortfalls are recognized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w:t>
      </w:r>
    </w:p>
    <w:p>
      <w:pPr>
        <w:spacing w:after="0" w:line="10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Recent Accounting Developments</w:t>
      </w:r>
    </w:p>
    <w:p>
      <w:pPr>
        <w:spacing w:after="0" w:line="225" w:lineRule="exact"/>
        <w:rPr>
          <w:rFonts w:ascii="Arial" w:cs="Arial" w:eastAsia="Arial" w:hAnsi="Arial"/>
          <w:sz w:val="18"/>
          <w:szCs w:val="18"/>
          <w:i w:val="1"/>
          <w:iCs w:val="1"/>
          <w:color w:val="auto"/>
        </w:rPr>
      </w:pPr>
    </w:p>
    <w:p>
      <w:pPr>
        <w:ind w:left="340" w:right="1980"/>
        <w:spacing w:after="0" w:line="391" w:lineRule="auto"/>
        <w:rPr>
          <w:rFonts w:ascii="Arial" w:cs="Arial" w:eastAsia="Arial" w:hAnsi="Arial"/>
          <w:sz w:val="18"/>
          <w:szCs w:val="18"/>
          <w:i w:val="1"/>
          <w:iCs w:val="1"/>
          <w:color w:val="auto"/>
        </w:rPr>
      </w:pPr>
      <w:r>
        <w:rPr>
          <w:rFonts w:ascii="Arial" w:cs="Arial" w:eastAsia="Arial" w:hAnsi="Arial"/>
          <w:sz w:val="18"/>
          <w:szCs w:val="18"/>
          <w:color w:val="auto"/>
        </w:rPr>
        <w:t>During the year ended December 31, 2018, the Company adopted several Accounting Standard Updates (“ASUs”) as follows: Effective January 1, 2018:</w:t>
      </w: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2014-09, Revenue from Contracts with Customers;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2016-01, Financial Instruments - Overall: Recognition and Measurement of Financial Assets and Liabilities;</w:t>
      </w:r>
    </w:p>
    <w:p>
      <w:pPr>
        <w:spacing w:after="0" w:line="35" w:lineRule="exact"/>
        <w:rPr>
          <w:rFonts w:ascii="Arial" w:cs="Arial" w:eastAsia="Arial" w:hAnsi="Arial"/>
          <w:sz w:val="18"/>
          <w:szCs w:val="18"/>
          <w:color w:val="auto"/>
        </w:rPr>
      </w:pP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2016-15, Statement of Cash Flows - Classification of Certain Cash Receipts and Cash Payments;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2017-01, Clarifying the Definition of a Business;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2017-04, Intangibles - Goodwill and Other: Simplifying the Accounting for Goodwill Impairment,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2017-09, Compensation - Stock Compensation;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ASU 2017-12, Derivatives and Hedging: Targeted Improvements to Accounting for Hedging Activities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September 1, 2018:</w:t>
      </w:r>
    </w:p>
    <w:p>
      <w:pPr>
        <w:spacing w:after="0" w:line="23" w:lineRule="exact"/>
        <w:rPr>
          <w:sz w:val="20"/>
          <w:szCs w:val="20"/>
          <w:color w:val="auto"/>
        </w:rPr>
      </w:pPr>
    </w:p>
    <w:p>
      <w:pPr>
        <w:ind w:left="340" w:right="260" w:firstLine="640"/>
        <w:spacing w:after="0" w:line="492" w:lineRule="auto"/>
        <w:tabs>
          <w:tab w:leader="none" w:pos="13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ASU 2018-13, Fair Value Measurements: Disclosure Framework - Changes to the Disclosure Requirements for Fair Value Measurement None of these ASUs had a significant impact on the Company’s Consolidated Financial Statements.</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the Company and the Company’s consolidated Affiliates adopted ASU 2014-09 on January 1, 2018, the standard is effective for the Company’s equity method Affiliates for interim and annual periods beginning after December 15, 2018. The Company does not expect a significant impact to its Consolidated Financial Statements upon adoption of the standard by its equity method Affiliates. Also, on September 1, 2018, the Company early adopted the eliminated and modified disclosures of ASU 2018-13 and, as a result, updated its financial statement disclosures accordingly. A modified narrative description of measurement uncertainty for level 3 fair value measurements was applied prospectively, with all other amendments applied retrospectively. As permitted by ASU 2018-13, the Company will present the additional disclosures required in the interim and annual periods beginning after December 15, 2019.</w:t>
      </w:r>
    </w:p>
    <w:p>
      <w:pPr>
        <w:spacing w:after="0" w:line="18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February 2016, the Financial Accounting Standards Board issued ASU 2016-02, Leases, and subsequently issued several related amendments. The standard requires lessees to record right-of-use assets and lease liabilities arising from most operating leases on their statement of financial position. The standard is effective for interim and annual periods beginning after December 15, 2018 for the Company and its consolidated Affiliates, and for interim and annual periods beginning after December 15, 2019 for the Company’s equity method Affiliates. The Company plans to adopt the standard using a modified retrospective method. The Company does not expect the adoption to significantly impact its Consolidated Statements of Income or its Consolidated Statements of Cash Flows. The Company anticipates recording a lease liability and a corresponding right-of-use asset of approximately $200 million on its Consolidated Balance Sheets. The Company will elect the transition practical expedients provided by ASU 2016-02, which allows the Company to carryforward its historical lease classification. As permitted under ASU 2016-02, the Company will elect not to record short-term leases with an initial lease term less than 12-months on its Consolidated Balance Sheets. Additionally, the Company will make an accounting policy election to include non-lease components for real estate leases and to separate non-lease components for non-real estate leases for the calculation of its lease liabilities. The Company will continue to assess the impact of adoption for its equity method Affiliates.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2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Investments in marketable securities at December 31, 2017 and 2018 were $77.8 million and $119.3 million, respectively. The following is a summary of the cost, gross unrealized gains and losses and fair value of Investments in marketable securities: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Unrealized gains</w:t>
            </w:r>
          </w:p>
        </w:tc>
        <w:tc>
          <w:tcPr>
            <w:tcW w:w="9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836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119.3</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the years ended December 31, 2017 and 2018, the Company received proceeds of $112.2 million and $81.4 million, respectively, from the sale of investments in marketable securities and recorded net gains of $35.8 million and $6.9 million, respectively.</w:t>
      </w:r>
    </w:p>
    <w:p>
      <w:pPr>
        <w:spacing w:after="0" w:line="22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4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investments consist of investments in funds advised by the Company’s Affiliates that are carried at fair value. The income or loss related to these investments is recorded in Investment and other income. See Note 11 for additional information.</w:t>
      </w:r>
    </w:p>
    <w:p>
      <w:pPr>
        <w:spacing w:after="0" w:line="8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and Affiliate Sponsored Investment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Affiliates are consolidated or accounted for under the equity method, depending upon the underlying structure of and relationship with each Affiliate.</w:t>
      </w:r>
    </w:p>
    <w:p>
      <w:pPr>
        <w:spacing w:after="0" w:line="170"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Substantially all of the Company’s consolidated Affiliates are considered VIEs. The unconsolidated assets, net of liabilities and non-controlling interests of equity method Affiliates considered VIEs, and the Company’s carrying value and maximum exposure to loss,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62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620" w:type="dxa"/>
            <w:vAlign w:val="bottom"/>
          </w:tcPr>
          <w:p>
            <w:pPr>
              <w:jc w:val="center"/>
              <w:ind w:right="12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accounted for under the equity method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1,594.4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2,765.7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1,102.9</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2,277.8</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As of December 31, 2017 and 2018, the carrying value and maximum exposure to loss for all of the Company’s equity method Affiliates was $3,304.7 million and $2,791.0 million, including equity method Affiliates considered VREs of $539.0 million and $513.2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net assets of Affiliate sponsored investment products that were considered VIEs accounted for under the equity method and the Company’s carrying value and maximum exposure to loss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04"/>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Unconsolidated</w:t>
            </w:r>
          </w:p>
        </w:tc>
        <w:tc>
          <w:tcPr>
            <w:tcW w:w="200" w:type="dxa"/>
            <w:vAlign w:val="bottom"/>
          </w:tcPr>
          <w:p>
            <w:pPr>
              <w:spacing w:after="0"/>
              <w:rPr>
                <w:sz w:val="13"/>
                <w:szCs w:val="13"/>
                <w:color w:val="auto"/>
              </w:rPr>
            </w:pPr>
          </w:p>
        </w:tc>
        <w:tc>
          <w:tcPr>
            <w:tcW w:w="162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w w:val="95"/>
              </w:rPr>
              <w:t>Carrying Value and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5"/>
              </w:rPr>
              <w:t>Maximum Exposure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to Loss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VIE Net Assets</w:t>
            </w:r>
          </w:p>
        </w:tc>
        <w:tc>
          <w:tcPr>
            <w:tcW w:w="200" w:type="dxa"/>
            <w:vAlign w:val="bottom"/>
          </w:tcPr>
          <w:p>
            <w:pPr>
              <w:spacing w:after="0"/>
              <w:rPr>
                <w:sz w:val="16"/>
                <w:szCs w:val="16"/>
                <w:color w:val="auto"/>
              </w:rPr>
            </w:pPr>
          </w:p>
        </w:tc>
        <w:tc>
          <w:tcPr>
            <w:tcW w:w="1620" w:type="dxa"/>
            <w:vAlign w:val="bottom"/>
          </w:tcPr>
          <w:p>
            <w:pPr>
              <w:jc w:val="center"/>
              <w:ind w:right="124"/>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sponsored investment products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2,154.6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2,216.5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59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Senior Bank Debt</w:t>
      </w:r>
    </w:p>
    <w:p>
      <w:pPr>
        <w:spacing w:after="0" w:line="283"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Company has a senior unsecured multicurrency revolving credit facility and a senior unsecured term loan facility. As of December 31, 2018, the borrowing capacity under the revolver was $1.45 billion, with the ability, subject to certain conditions, to further increase commitments by up to $350.0 million. During 2018, the Company amended its term loan to increase the borrowings to $450.0 million, with the ability to borrow an additional $75.0 million, subject to certain conditions. 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 The revolver matures on September 30, 2020 and the term loan matures on May 31, 2021.</w:t>
      </w:r>
    </w:p>
    <w:p>
      <w:pPr>
        <w:spacing w:after="0" w:line="21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As of December 31, 2017 and 2018, the Company had outstanding borrowings under the revolver of $425.0 million and $330.0 million, respectively, and the weighted-average interest rate on outstanding borrowings was 2.76% and 3.92%, respectively. As of December 31, 2017 and 2018, the Company had outstanding borrowings under the term loan of $385.0 million and $450.0 million, and the weighted-average interest rate on outstanding borrowings was</w:t>
      </w:r>
    </w:p>
    <w:p>
      <w:pPr>
        <w:ind w:right="40"/>
        <w:spacing w:after="0" w:line="261" w:lineRule="auto"/>
        <w:rPr>
          <w:sz w:val="20"/>
          <w:szCs w:val="20"/>
          <w:color w:val="auto"/>
        </w:rPr>
      </w:pPr>
      <w:r>
        <w:rPr>
          <w:rFonts w:ascii="Arial" w:cs="Arial" w:eastAsia="Arial" w:hAnsi="Arial"/>
          <w:sz w:val="18"/>
          <w:szCs w:val="18"/>
          <w:color w:val="auto"/>
        </w:rPr>
        <w:t>2.69% and 3.33%, respectively. The Company pays commitment fees on the unused portion of its revolver. For the years ended December 31, 2017 and 2018, these fees amounted to $1.5 million and $1.6 million, respectively.</w:t>
      </w:r>
    </w:p>
    <w:p>
      <w:pPr>
        <w:spacing w:after="0" w:line="23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2017, the Company redeemed, canceled and retired all $200.0 million principal amount outstanding of its 6.375% senior unsecured notes due 2042 at a redemption price equal to 100% of the principal amount. At December 31, 2018, the Company had two senior notes outstanding. The carrying value of the senior notes is accreted to the principal amount at maturity over a remaining life of the underlying instrument. The respective principal terms of the senior notes are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2025</w:t>
            </w:r>
          </w:p>
        </w:tc>
      </w:tr>
      <w:tr>
        <w:trPr>
          <w:trHeight w:val="149"/>
        </w:trPr>
        <w:tc>
          <w:tcPr>
            <w:tcW w:w="7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Senior</w:t>
            </w:r>
          </w:p>
        </w:tc>
        <w:tc>
          <w:tcPr>
            <w:tcW w:w="280" w:type="dxa"/>
            <w:vAlign w:val="bottom"/>
          </w:tcPr>
          <w:p>
            <w:pPr>
              <w:spacing w:after="0"/>
              <w:rPr>
                <w:sz w:val="12"/>
                <w:szCs w:val="12"/>
                <w:color w:val="auto"/>
              </w:rPr>
            </w:pPr>
          </w:p>
        </w:tc>
        <w:tc>
          <w:tcPr>
            <w:tcW w:w="14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Senior</w:t>
            </w:r>
          </w:p>
        </w:tc>
      </w:tr>
      <w:tr>
        <w:trPr>
          <w:trHeight w:val="192"/>
        </w:trPr>
        <w:tc>
          <w:tcPr>
            <w:tcW w:w="7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2"/>
              </w:rPr>
              <w:t>Notes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7"/>
              </w:rPr>
              <w:t>Notes</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date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February 2014</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February 2015</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28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February 2024</w:t>
            </w:r>
          </w:p>
        </w:tc>
        <w:tc>
          <w:tcPr>
            <w:tcW w:w="280" w:type="dxa"/>
            <w:vAlign w:val="bottom"/>
          </w:tcPr>
          <w:p>
            <w:pPr>
              <w:spacing w:after="0"/>
              <w:rPr>
                <w:sz w:val="21"/>
                <w:szCs w:val="21"/>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August 2025</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Potential Call Date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Any Time</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Any Time</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 xml:space="preserve">Par value </w:t>
            </w:r>
            <w:r>
              <w:rPr>
                <w:rFonts w:ascii="Arial" w:cs="Arial" w:eastAsia="Arial" w:hAnsi="Arial"/>
                <w:sz w:val="18"/>
                <w:szCs w:val="18"/>
                <w:i w:val="1"/>
                <w:iCs w:val="1"/>
                <w:color w:val="auto"/>
              </w:rPr>
              <w:t>(in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350.0</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Call Price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 Defined</w:t>
            </w:r>
          </w:p>
        </w:tc>
        <w:tc>
          <w:tcPr>
            <w:tcW w:w="2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As Defined</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Stated coupon</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Coupon frequency</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Semi-annually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Semi-annually</w:t>
            </w:r>
          </w:p>
        </w:tc>
      </w:tr>
      <w:tr>
        <w:trPr>
          <w:trHeight w:val="191"/>
        </w:trPr>
        <w:tc>
          <w:tcPr>
            <w:tcW w:w="796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227" w:lineRule="exact"/>
        <w:rPr>
          <w:sz w:val="20"/>
          <w:szCs w:val="20"/>
          <w:color w:val="auto"/>
        </w:rPr>
      </w:pPr>
    </w:p>
    <w:p>
      <w:pPr>
        <w:ind w:left="340" w:right="100" w:hanging="332"/>
        <w:spacing w:after="0" w:line="259" w:lineRule="auto"/>
        <w:tabs>
          <w:tab w:leader="none" w:pos="340" w:val="left"/>
        </w:tabs>
        <w:numPr>
          <w:ilvl w:val="0"/>
          <w:numId w:val="30"/>
        </w:numPr>
        <w:rPr>
          <w:rFonts w:ascii="Arial" w:cs="Arial" w:eastAsia="Arial" w:hAnsi="Arial"/>
          <w:sz w:val="18"/>
          <w:szCs w:val="18"/>
          <w:color w:val="auto"/>
          <w:vertAlign w:val="superscript"/>
        </w:rPr>
      </w:pPr>
      <w:r>
        <w:rPr>
          <w:rFonts w:ascii="Arial" w:cs="Arial" w:eastAsia="Arial" w:hAnsi="Arial"/>
          <w:sz w:val="18"/>
          <w:szCs w:val="18"/>
          <w:color w:val="auto"/>
        </w:rPr>
        <w:t>The senior notes may be redeemed at any time, in whole or in part,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w:t>
      </w:r>
    </w:p>
    <w:p>
      <w:pPr>
        <w:spacing w:after="0" w:line="10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Securities</w:t>
      </w:r>
    </w:p>
    <w:p>
      <w:pPr>
        <w:spacing w:after="0" w:line="28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December 31, 2018, the Company had junior convertible trust preferred securities outstanding (the “junior convertible securities”). The carrying value and principal amount at maturity of the junior convertible securities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Principal Amount</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132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Principal Amount</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at Maturity</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at Maturity</w:t>
            </w:r>
          </w:p>
        </w:tc>
      </w:tr>
      <w:tr>
        <w:trPr>
          <w:trHeight w:val="268"/>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Junior convertible securities</w:t>
            </w:r>
            <w:r>
              <w:rPr>
                <w:rFonts w:ascii="Arial" w:cs="Arial" w:eastAsia="Arial" w:hAnsi="Arial"/>
                <w:sz w:val="18"/>
                <w:szCs w:val="18"/>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309.9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312.5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430.8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vertAlign w:val="superscript"/>
        </w:rPr>
      </w:pPr>
      <w:r>
        <w:rPr>
          <w:rFonts w:ascii="Arial" w:cs="Arial" w:eastAsia="Arial" w:hAnsi="Arial"/>
          <w:sz w:val="18"/>
          <w:szCs w:val="18"/>
          <w:color w:val="auto"/>
        </w:rPr>
        <w:t>The carrying value is accreted to the principal amount at maturity over a remaining life of 19 years.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junior convertible securities bear interest at a rate of 5.15% per annum, payable quarterly in cash. Effective August 10, 2018 and in accordance with the convertible securities indenture, the Company adjusted the conversion rate of the junior convertible securities from 0.2500 shares of common stock to</w:t>
      </w:r>
    </w:p>
    <w:p>
      <w:pPr>
        <w:ind w:right="40"/>
        <w:spacing w:after="0" w:line="287" w:lineRule="auto"/>
        <w:rPr>
          <w:sz w:val="20"/>
          <w:szCs w:val="20"/>
          <w:color w:val="auto"/>
        </w:rPr>
      </w:pPr>
      <w:r>
        <w:rPr>
          <w:rFonts w:ascii="Arial" w:cs="Arial" w:eastAsia="Arial" w:hAnsi="Arial"/>
          <w:sz w:val="16"/>
          <w:szCs w:val="16"/>
          <w:color w:val="auto"/>
        </w:rPr>
        <w:t>0.2525 shares of common stock per $50.00 junior convertible security, equivalent to an adjusted conversion price of $198.02 per share of common stock. The adjustment was the result of the Company’s cumulative declared dividends on its common stock since the initiation of its dividend through August 2018. Holders of the junior convertible securities have no rights to put these securities to the Company. Upon conversion, holders will receive cash or shares of the Company’s common stock, or a combination thereof, at the Company’s election. The Company may redeem the junior convertible securities if the closing price of its common stock exceeds $257.43 per share for 20 trading days in a period of 30 consecutive trading days. The junior convertible securities are considered contingent payment debt instruments under federal income tax regulations, which require the Company to deduct interest in an amount greater than its reported interest expense. These deductions will generate annual deferred tax liabilities of $7.8 million. These deferred tax liabilities will be reclassified directly to stockholders’ equity if the Company’s common stock is trading above certain thresholds at the time of the conversion of the securities.</w:t>
      </w:r>
    </w:p>
    <w:p>
      <w:pPr>
        <w:spacing w:after="0" w:line="22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Equity Distribution Program</w:t>
      </w:r>
    </w:p>
    <w:p>
      <w:pPr>
        <w:spacing w:after="0" w:line="14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has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As of December 31, 2018, no sales had occurred under the equity distribution program.</w:t>
      </w:r>
    </w:p>
    <w:p>
      <w:pPr>
        <w:spacing w:after="0" w:line="3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2018, the Company entered into two separate pound sterling-denominated forward foreign currency contracts (the “forward contracts”) with a large financial institution (the “counterparty”). Concurrent to entering into each of the forward contracts, the Company also entered into two separate collar contracts (the “collar contracts”) with the same counterparty for the same notional amounts and expiration dates as each of the forward contracts. Under one of the forward contracts, the Company will deliver £285.8 million for $400.0 million in 2024 and under the other forward contract, the Company will deliver £325.3 million for $450.0 million in 2021. Under one of the collar contracts, the Company sold a put option with a lower strike price of 1.288 U.S. dollars per one pound sterling and purchased a call option with an upper strike price of 1.535 U.S. dollars per one pound sterling. Under the other collar contract, the Company sold a put option with a lower strike price of 1.318 U.S. dollars per one pound sterling and purchased a call option with an upper strike price of</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1.448 U.S. dollars per one pound sterling. The forward contracts and the collar contracts provide net settlement rights and require the parties to post collateral throughout the term of the contracts.</w:t>
      </w:r>
    </w:p>
    <w:p>
      <w:pPr>
        <w:spacing w:after="0" w:line="18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combination of the forward contracts and the collar contracts were designated as net investment hedges against fluctuations in foreign currency exchange rates on certain of the Company’s investments in Affiliates with the pound sterling as their functional currency.</w:t>
      </w:r>
    </w:p>
    <w:p>
      <w:pPr>
        <w:spacing w:after="0" w:line="170"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forward contracts’ excluded component is recognized in earnings on a straight-line basis over the respective periods of the forward contracts as a reduction to Interest expense. All other changes in the fair values of the effective net investment hedges are reported in Foreign currency translation gain (loss) in the Consolidated Statements of Comprehensive Income. The Company assesses hedge effectiveness on a quarterly basis.</w:t>
      </w:r>
    </w:p>
    <w:p>
      <w:pPr>
        <w:spacing w:after="0" w:line="14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Company’s Affiliates use forward foreign currency contracts to hedge the risk of foreign currency exchange rate movements, none of which were significant.</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Derivative financial instruments are presented in Other assets when in an unrealized gain position and in Other liabilities when in an unrealized loss position. When a right to offset exists between derivative financial instruments they are presented net in the Consolidated Balance Sheets. The following table summarizes the Company’s and its Affiliates’ derivative financial instruments measured at fair value on a recurring basis. As of December 31, 2017, the Company and its Affiliates did not have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derivative financial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w w:val="91"/>
              </w:rPr>
              <w:t>December 31, 2018</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Put options</w:t>
            </w:r>
          </w:p>
        </w:tc>
        <w:tc>
          <w:tcPr>
            <w:tcW w:w="9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effect of the derivative financial instruments on the Consolidated Statements of Comprehensive Income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For the Year Ended December 31, 2018</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Gain (Loss)</w:t>
            </w:r>
          </w:p>
        </w:tc>
        <w:tc>
          <w:tcPr>
            <w:tcW w:w="220" w:type="dxa"/>
            <w:vAlign w:val="bottom"/>
          </w:tcPr>
          <w:p>
            <w:pPr>
              <w:spacing w:after="0"/>
              <w:rPr>
                <w:sz w:val="13"/>
                <w:szCs w:val="13"/>
                <w:color w:val="auto"/>
              </w:rPr>
            </w:pPr>
          </w:p>
        </w:tc>
        <w:tc>
          <w:tcPr>
            <w:tcW w:w="126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Recognized in 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Earnings from</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Excluded</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Components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Put options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options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914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vertAlign w:val="superscript"/>
        </w:rPr>
      </w:pPr>
      <w:r>
        <w:rPr>
          <w:rFonts w:ascii="Arial" w:cs="Arial" w:eastAsia="Arial" w:hAnsi="Arial"/>
          <w:sz w:val="18"/>
          <w:szCs w:val="18"/>
          <w:color w:val="auto"/>
        </w:rPr>
        <w:t>The excluded components are recorded as a reduction in Interest expense.</w:t>
      </w:r>
    </w:p>
    <w:p>
      <w:pPr>
        <w:spacing w:after="0" w:line="18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2018, the Company and its Affiliates did not have any significant gains (losses) reclassified from accumulated other comprehensive income (loss) into earnings.</w:t>
      </w:r>
    </w:p>
    <w:p>
      <w:pPr>
        <w:spacing w:after="0" w:line="1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terms of the Company’s forward contracts and collar contracts require the Company and the counterparty to post cash collateral in certain circumstances throughout the duration of the contracts. As of December 31, 2018, the Company held $3.1 million of cash collateral from the counterparty, and the counterparty held $28.0 million of cash collateral from the Company.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counterparty to the Company’s derivative contracts is a large financial institution. The derivative contracts are governed by an International Swaps and Derivative Association (“ISDA”) Master Agreement with the counterparty, which provides for settlement netting and close-out netting between the Company and the counterparty, which are legally enforceable rights to setoff. The Company also actively monitors its counterparty credit risk related to derivative financial instruments. The Company’s derivative contracts include provisions to protect against counterparty rating downgrades, which in certain cases may result in the counterparty posting additional collateral to the Company, or give rise to a termination right. The Company considers set-off rights and counterparty credit risk in the valuation of its positions, and recognizes a credit valuation adjustment as appropriate. The Company’s forward contracts and collar contracts include contingent features that could require the Company or the counterparty to post additional collateral, or give rise to termination rights, if certain specified rating downgrades were to occur. As of December 31, 2018, there were no derivative arrangements with a contingent feature that were in a net liability position.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8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24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has committed to co-invest in certain Affiliate sponsored investment products. As of December 31, 2018, these unfunded commitments were $131.0 million and may be called in future periods.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of December 31, 2018, the Company was contingently liable, upon achievement by certain of its Affiliates of specified financial targets, to make payments through 2020 related to the Company’s investments in these Affiliates. For its consolidated Affiliates, the Company was contingently liable for up to $2.5 million, and expected to make payments of $1.9 million (all of which are expected to be made in 2019). The present value of the total expected payments was $1.9 million. For its equity method Affiliates, the Company was contingently liable to make payments up to $150.0 million through 2020, and expected to make no payments.</w:t>
      </w:r>
    </w:p>
    <w:p>
      <w:pPr>
        <w:spacing w:after="0" w:line="24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Affiliate equity interests provide holders with a conditional right to put their interests to the Company over time. See Note 20 for additional information. In addition, in connection with one of the Company’s investments in a non-U.S. alternative Affiliate accounted for under the equity method, the Company entered into an arrangement with a minority owner of the Affiliate that gives such owner the right to elect to sell a portion of its 19% ownership interest in the Affiliate to the Company annually. The purchase price of these conditional purchases will be at fair market value. During the three months ended December 31, 2018, the Company was notified by the minority owner that it may, after determining the fair market value of its interest, elect to sell a 5% ownership interest in the Affiliate to the Company. If the minority owner elects to sell this interest, the transaction is expected to be completed during the first half of 2019; however, the Company cannot currently predict the amount that may be paid to settle this commitment. If the Company acquires the minority owner’s interest over time, it will continue to account for the Affiliate under the equity method.</w:t>
      </w:r>
    </w:p>
    <w:p>
      <w:pPr>
        <w:spacing w:after="0" w:line="23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and certain of its consolidated Affiliates operate under regulatory authorities that require the maintenance of minimum financial or capital requirements. Management is not aware of any significant violations of such requirements.</w:t>
      </w:r>
    </w:p>
    <w:p>
      <w:pPr>
        <w:spacing w:after="0" w:line="22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financial assets and liabilities that are measured at fair value on a recurring basis: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Pr>
          <w:p>
            <w:pPr>
              <w:spacing w:after="0"/>
              <w:rPr>
                <w:sz w:val="22"/>
                <w:szCs w:val="22"/>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Level 2</w:t>
            </w:r>
          </w:p>
        </w:tc>
        <w:tc>
          <w:tcPr>
            <w:tcW w:w="300" w:type="dxa"/>
            <w:vAlign w:val="bottom"/>
          </w:tcPr>
          <w:p>
            <w:pPr>
              <w:spacing w:after="0"/>
              <w:rPr>
                <w:sz w:val="22"/>
                <w:szCs w:val="22"/>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Investments in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77.8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2"/>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18"/>
                <w:szCs w:val="18"/>
                <w:b w:val="1"/>
                <w:bCs w:val="1"/>
                <w:color w:val="auto"/>
                <w:vertAlign w:val="superscript"/>
              </w:rPr>
              <w:t>(2)</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8"/>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payment arrangements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Affiliate equity repurchase obligations</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49.2</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22"/>
                <w:szCs w:val="22"/>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22"/>
                <w:szCs w:val="22"/>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Investments in 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119.3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2"/>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18"/>
                <w:szCs w:val="18"/>
                <w:b w:val="1"/>
                <w:bCs w:val="1"/>
                <w:color w:val="auto"/>
                <w:vertAlign w:val="superscript"/>
              </w:rPr>
              <w:t>(2)</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8"/>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payment arrangements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Affiliate equity repurchase obligations</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191"/>
        </w:trPr>
        <w:tc>
          <w:tcPr>
            <w:tcW w:w="516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4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vertAlign w:val="superscript"/>
        </w:rPr>
      </w:pPr>
      <w:r>
        <w:rPr>
          <w:rFonts w:ascii="Arial" w:cs="Arial" w:eastAsia="Arial" w:hAnsi="Arial"/>
          <w:sz w:val="18"/>
          <w:szCs w:val="18"/>
          <w:color w:val="auto"/>
        </w:rPr>
        <w:t>Amounts are presented within Other assets.</w:t>
      </w:r>
    </w:p>
    <w:p>
      <w:pPr>
        <w:spacing w:after="0" w:line="144"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7"/>
        </w:numPr>
        <w:rPr>
          <w:rFonts w:ascii="Arial" w:cs="Arial" w:eastAsia="Arial" w:hAnsi="Arial"/>
          <w:sz w:val="18"/>
          <w:szCs w:val="18"/>
          <w:color w:val="auto"/>
          <w:vertAlign w:val="superscript"/>
        </w:rPr>
      </w:pPr>
      <w:r>
        <w:rPr>
          <w:rFonts w:ascii="Arial" w:cs="Arial" w:eastAsia="Arial" w:hAnsi="Arial"/>
          <w:sz w:val="18"/>
          <w:szCs w:val="18"/>
          <w:color w:val="auto"/>
        </w:rPr>
        <w:t>Amounts are presented within Other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Level 3 Financial Assets and Liabilities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level 3 liabilities: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1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2018</w:t>
            </w: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Contingent Payment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Affiliate Equity</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Contingent Payment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Affiliate Equity</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Repurchase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Arrangements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Obligations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Arrangements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8"/>
                <w:szCs w:val="18"/>
                <w:color w:val="auto"/>
                <w:vertAlign w:val="superscript"/>
              </w:rPr>
              <w:t>(1)</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and issuances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Settlements and reductions</w:t>
            </w: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change in unrealized losses relating to instruments still held at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reporting date</w:t>
            </w:r>
            <w:r>
              <w:rPr>
                <w:rFonts w:ascii="Arial" w:cs="Arial" w:eastAsia="Arial" w:hAnsi="Arial"/>
                <w:sz w:val="18"/>
                <w:szCs w:val="18"/>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68" w:lineRule="exact"/>
        <w:rPr>
          <w:sz w:val="20"/>
          <w:szCs w:val="20"/>
          <w:color w:val="auto"/>
        </w:rPr>
      </w:pPr>
    </w:p>
    <w:p>
      <w:pPr>
        <w:jc w:val="both"/>
        <w:ind w:left="340" w:right="200" w:hanging="332"/>
        <w:spacing w:after="0" w:line="312" w:lineRule="auto"/>
        <w:tabs>
          <w:tab w:leader="none" w:pos="340" w:val="left"/>
        </w:tabs>
        <w:numPr>
          <w:ilvl w:val="0"/>
          <w:numId w:val="38"/>
        </w:numPr>
        <w:rPr>
          <w:rFonts w:ascii="Arial" w:cs="Arial" w:eastAsia="Arial" w:hAnsi="Arial"/>
          <w:sz w:val="16"/>
          <w:szCs w:val="16"/>
          <w:color w:val="auto"/>
          <w:vertAlign w:val="superscript"/>
        </w:rPr>
      </w:pPr>
      <w:r>
        <w:rPr>
          <w:rFonts w:ascii="Arial" w:cs="Arial" w:eastAsia="Arial" w:hAnsi="Arial"/>
          <w:sz w:val="16"/>
          <w:szCs w:val="16"/>
          <w:color w:val="auto"/>
        </w:rPr>
        <w:t>For the years ended December 31, 2017 and 2018, net realized and unrealized losses resulting from changes to contingent payment arrangements were $6.6 million and $0.6 million, respectively, and were recorded in Other expenses (net). For the years ended December 31, 2017 and 2018, the accretion expense for these arrangements was $1.0 million and $0.7 million, respectively, and was recorded in Interest expense.</w:t>
      </w:r>
    </w:p>
    <w:p>
      <w:pPr>
        <w:spacing w:after="0" w:line="146"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38"/>
        </w:numPr>
        <w:rPr>
          <w:rFonts w:ascii="Arial" w:cs="Arial" w:eastAsia="Arial" w:hAnsi="Arial"/>
          <w:sz w:val="18"/>
          <w:szCs w:val="18"/>
          <w:color w:val="auto"/>
          <w:vertAlign w:val="superscript"/>
        </w:rPr>
      </w:pPr>
      <w:r>
        <w:rPr>
          <w:rFonts w:ascii="Arial" w:cs="Arial" w:eastAsia="Arial" w:hAnsi="Arial"/>
          <w:sz w:val="18"/>
          <w:szCs w:val="18"/>
          <w:color w:val="auto"/>
        </w:rPr>
        <w:t>Includes transfers from Redeemable non-controlling interests.</w:t>
      </w:r>
    </w:p>
    <w:p>
      <w:pPr>
        <w:spacing w:after="0" w:line="14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valuing the Company’s level 3 fair value measurements:</w:t>
      </w:r>
    </w:p>
    <w:p>
      <w:pPr>
        <w:spacing w:after="0" w:line="311"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23495</wp:posOffset>
            </wp:positionV>
            <wp:extent cx="6303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Range at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Fair Value at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Range at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Valuation</w:t>
            </w:r>
          </w:p>
        </w:tc>
        <w:tc>
          <w:tcPr>
            <w:tcW w:w="12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 Value at</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at December 31,</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at December 31,</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Techniques</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Input</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December 31, 2017</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Contingent payment</w:t>
            </w:r>
          </w:p>
        </w:tc>
        <w:tc>
          <w:tcPr>
            <w:tcW w:w="12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Discounted cash</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arrangements</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flow</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Growth rates</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- 8%</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 - 16%</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15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 equity</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Discounted cash</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obligations</w:t>
            </w: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flow</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Growth rates</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 - 11%</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- 9%</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1"/>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Discount rates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 - 16%</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 - 16%</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Contingent payment arrangements represents the present value of the expected future settlement amounts related to the Company’s investments in consolidated Affiliates. As of December 31, 2018, there were no changes to growth rates or discount rates that had a significant impact to contingent payment arrangements.</w:t>
      </w:r>
    </w:p>
    <w:p>
      <w:pPr>
        <w:spacing w:after="0" w:line="23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Affiliate equity repurchase obligations include agreements to repurchase Affiliate equity. As of December 31, 2018, there were no changes to growth or discount rates that had a significant impact to Affiliate equity repurchase obligations recorded in prior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Measured at NAV as a Practical Expedient</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Affiliates sponsor investment products in which the Company and its Affiliates may make general partner and seed capital investments. The Company uses the NAV of these investments as a practical expedient for their fair value and reports these products within Other investments. The following table summarizes the nature of the Company’s investments, unfunded commitments, and any related liquidity restrictions or other factors that may impact the ultimate value realized:</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of Investment</w:t>
            </w:r>
          </w:p>
        </w:tc>
        <w:tc>
          <w:tcPr>
            <w:tcW w:w="26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Unfunded</w:t>
            </w:r>
          </w:p>
        </w:tc>
        <w:tc>
          <w:tcPr>
            <w:tcW w:w="28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26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Commitments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equity</w:t>
            </w:r>
            <w:r>
              <w:rPr>
                <w:rFonts w:ascii="Arial" w:cs="Arial" w:eastAsia="Arial" w:hAnsi="Arial"/>
                <w:sz w:val="18"/>
                <w:szCs w:val="18"/>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156.1</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Other funds</w:t>
            </w:r>
            <w:r>
              <w:rPr>
                <w:rFonts w:ascii="Arial" w:cs="Arial" w:eastAsia="Arial" w:hAnsi="Arial"/>
                <w:sz w:val="18"/>
                <w:szCs w:val="18"/>
                <w:color w:val="auto"/>
                <w:vertAlign w:val="superscript"/>
              </w:rPr>
              <w:t>(2)</w:t>
            </w:r>
          </w:p>
        </w:tc>
        <w:tc>
          <w:tcPr>
            <w:tcW w:w="26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r>
              <w:rPr>
                <w:rFonts w:ascii="Arial" w:cs="Arial" w:eastAsia="Arial" w:hAnsi="Arial"/>
                <w:sz w:val="18"/>
                <w:szCs w:val="18"/>
                <w:color w:val="auto"/>
                <w:vertAlign w:val="superscript"/>
              </w:rPr>
              <w:t>(3)</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right="300" w:hanging="332"/>
        <w:spacing w:after="0" w:line="264" w:lineRule="auto"/>
        <w:tabs>
          <w:tab w:leader="none" w:pos="340" w:val="left"/>
        </w:tabs>
        <w:numPr>
          <w:ilvl w:val="0"/>
          <w:numId w:val="39"/>
        </w:numPr>
        <w:rPr>
          <w:rFonts w:ascii="Arial" w:cs="Arial" w:eastAsia="Arial" w:hAnsi="Arial"/>
          <w:sz w:val="18"/>
          <w:szCs w:val="18"/>
          <w:color w:val="auto"/>
          <w:vertAlign w:val="superscript"/>
        </w:rPr>
      </w:pPr>
      <w:r>
        <w:rPr>
          <w:rFonts w:ascii="Arial" w:cs="Arial" w:eastAsia="Arial" w:hAnsi="Arial"/>
          <w:sz w:val="18"/>
          <w:szCs w:val="18"/>
          <w:color w:val="auto"/>
        </w:rPr>
        <w:t>The Company uses NAV as a practical expedient one quarter in arrears (adjusted for current period calls and distributions) to determine the fair value. These funds primarily invest in a broad range of private equity funds, as well as making direct investments. Distributions will be received as the underlying assets are liquidated over the life of the funds, which is generally up to 15 years.</w:t>
      </w:r>
    </w:p>
    <w:p>
      <w:pPr>
        <w:spacing w:after="0" w:line="181" w:lineRule="exact"/>
        <w:rPr>
          <w:rFonts w:ascii="Arial" w:cs="Arial" w:eastAsia="Arial" w:hAnsi="Arial"/>
          <w:sz w:val="18"/>
          <w:szCs w:val="18"/>
          <w:color w:val="auto"/>
          <w:vertAlign w:val="superscript"/>
        </w:rPr>
      </w:pPr>
    </w:p>
    <w:p>
      <w:pPr>
        <w:ind w:left="340" w:right="220" w:hanging="332"/>
        <w:spacing w:after="0" w:line="277" w:lineRule="auto"/>
        <w:tabs>
          <w:tab w:leader="none" w:pos="340" w:val="left"/>
        </w:tabs>
        <w:numPr>
          <w:ilvl w:val="0"/>
          <w:numId w:val="39"/>
        </w:numPr>
        <w:rPr>
          <w:rFonts w:ascii="Arial" w:cs="Arial" w:eastAsia="Arial" w:hAnsi="Arial"/>
          <w:sz w:val="18"/>
          <w:szCs w:val="18"/>
          <w:color w:val="auto"/>
          <w:vertAlign w:val="superscript"/>
        </w:rPr>
      </w:pPr>
      <w:r>
        <w:rPr>
          <w:rFonts w:ascii="Arial" w:cs="Arial" w:eastAsia="Arial" w:hAnsi="Arial"/>
          <w:sz w:val="18"/>
          <w:szCs w:val="18"/>
          <w:color w:val="auto"/>
        </w:rPr>
        <w:t>These are multi-disciplinary funds that invest across various asset classes and strategies, including long/short equity, credit and real estate. Investments are generally redeemable on a daily, monthly or quarterly basis.</w:t>
      </w:r>
    </w:p>
    <w:p>
      <w:pPr>
        <w:spacing w:after="0" w:line="17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9"/>
        </w:numPr>
        <w:rPr>
          <w:rFonts w:ascii="Arial" w:cs="Arial" w:eastAsia="Arial" w:hAnsi="Arial"/>
          <w:sz w:val="18"/>
          <w:szCs w:val="18"/>
          <w:color w:val="auto"/>
          <w:vertAlign w:val="superscript"/>
        </w:rPr>
      </w:pPr>
      <w:r>
        <w:rPr>
          <w:rFonts w:ascii="Arial" w:cs="Arial" w:eastAsia="Arial" w:hAnsi="Arial"/>
          <w:sz w:val="18"/>
          <w:szCs w:val="18"/>
          <w:color w:val="auto"/>
        </w:rPr>
        <w:t>Fair value attributable to the controlling interest was $80.1 million and $123.2 million as of December 31, 2017 and 2018,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Financial Assets and Liabilities Not Carried at Fair Value</w:t>
      </w:r>
    </w:p>
    <w:p>
      <w:pPr>
        <w:spacing w:after="0" w:line="279"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The carrying amount of Cash and cash equivalents, Receivables and Payables and accrued liabilities approximates fair value because of the short-term nature of these instruments. The carrying value of notes receivable, which is reported in Other assets, approximates fair value because interest rates and other terms are at market rates. The carrying value of the credit facilities, which is reported in Senior bank debt in the Consolidated Balance Sheets, approximates fair value because the credit facilities have variable interest based on selected short-term rates. The following table summarizes the Company’s other financial liabilities not carried at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Pr>
          <w:p>
            <w:pPr>
              <w:ind w:left="360"/>
              <w:spacing w:after="0" w:line="13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Hierarchy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745.7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746.2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Convertible securities</w:t>
            </w:r>
          </w:p>
        </w:tc>
        <w:tc>
          <w:tcPr>
            <w:tcW w:w="180" w:type="dxa"/>
            <w:vAlign w:val="bottom"/>
          </w:tcPr>
          <w:p>
            <w:pPr>
              <w:spacing w:after="0"/>
              <w:rPr>
                <w:sz w:val="21"/>
                <w:szCs w:val="21"/>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68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21"/>
                <w:szCs w:val="21"/>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Client Relationships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tables present the changes in the Company’s consolidated Affiliates’ Goodwill and components of Acquired client relationships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Goodwill</w:t>
            </w:r>
          </w:p>
        </w:tc>
        <w:tc>
          <w:tcPr>
            <w:tcW w:w="106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2,662.5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2,633.4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1880" w:hanging="5291"/>
        <w:spacing w:after="0" w:line="559" w:lineRule="auto"/>
        <w:rPr>
          <w:sz w:val="20"/>
          <w:szCs w:val="20"/>
          <w:color w:val="auto"/>
        </w:rPr>
      </w:pPr>
      <w:r>
        <w:rPr>
          <w:rFonts w:ascii="Arial" w:cs="Arial" w:eastAsia="Arial" w:hAnsi="Arial"/>
          <w:sz w:val="18"/>
          <w:szCs w:val="18"/>
          <w:color w:val="auto"/>
        </w:rPr>
        <w:t>As of September 30, 2018, the Company completed its impairment assessment on goodwill and no impairments were indicated. 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3"/>
              </w:rPr>
              <w:t>Acquired Client Relationships (Net)</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Definite-lived</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Indefinite-lived</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Total</w:t>
            </w:r>
          </w:p>
        </w:tc>
      </w:tr>
      <w:tr>
        <w:trPr>
          <w:trHeight w:val="152"/>
        </w:trPr>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Gross Book</w:t>
            </w:r>
          </w:p>
        </w:tc>
        <w:tc>
          <w:tcPr>
            <w:tcW w:w="240" w:type="dxa"/>
            <w:vAlign w:val="bottom"/>
          </w:tcPr>
          <w:p>
            <w:pPr>
              <w:spacing w:after="0"/>
              <w:rPr>
                <w:sz w:val="13"/>
                <w:szCs w:val="13"/>
                <w:color w:val="auto"/>
              </w:rPr>
            </w:pPr>
          </w:p>
        </w:tc>
        <w:tc>
          <w:tcPr>
            <w:tcW w:w="14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Net Book</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Net Book</w:t>
            </w:r>
          </w:p>
        </w:tc>
        <w:tc>
          <w:tcPr>
            <w:tcW w:w="240" w:type="dxa"/>
            <w:vAlign w:val="bottom"/>
          </w:tcPr>
          <w:p>
            <w:pPr>
              <w:spacing w:after="0"/>
              <w:rPr>
                <w:sz w:val="13"/>
                <w:szCs w:val="13"/>
                <w:color w:val="auto"/>
              </w:rPr>
            </w:pPr>
          </w:p>
        </w:tc>
        <w:tc>
          <w:tcPr>
            <w:tcW w:w="10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4"/>
              </w:rPr>
              <w:t>Net Book</w:t>
            </w:r>
          </w:p>
        </w:tc>
      </w:tr>
      <w:tr>
        <w:trPr>
          <w:trHeight w:val="192"/>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1,497.4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1,295.5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1,449.7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 and 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1,309.9</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Definite-lived acquired client relationships are amortized over their expected period of economic benefit. The Company recorded amortization expense within Intangible amortization and impairments for these relationships of $107.7 million, $86.4 million and $114.4 million, respectively, for the years ended December 31, 2016, 2017 and 2018. Based on relationships existing as of December 31, 2018, the Company estimates that its consolidated annual amortization expense will be approximately $110 million in 2019, $55 million in 2020, and $30 million in 2021, 2022 and 2023.</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During 2018, the Company completed impairment assessments on its definite-lived and indefinite-lived acquired client relationships and no impairments were indicated.</w:t>
      </w:r>
    </w:p>
    <w:p>
      <w:pPr>
        <w:spacing w:after="0" w:line="22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 in Affiliates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change in Equity method investments in Affiliates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4"/>
              </w:rPr>
              <w:t>Equity Method Investments in Affiliates (Net)</w:t>
            </w:r>
          </w:p>
        </w:tc>
      </w:tr>
      <w:tr>
        <w:trPr>
          <w:trHeight w:val="264"/>
        </w:trPr>
        <w:tc>
          <w:tcPr>
            <w:tcW w:w="8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earnings</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370.6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intangible amortization and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of earnings from equity method investments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3,304.7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2,791.0</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2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vertAlign w:val="superscript"/>
        </w:rPr>
      </w:pPr>
      <w:r>
        <w:rPr>
          <w:rFonts w:ascii="Arial" w:cs="Arial" w:eastAsia="Arial" w:hAnsi="Arial"/>
          <w:sz w:val="18"/>
          <w:szCs w:val="18"/>
          <w:color w:val="auto"/>
        </w:rPr>
        <w:t>Primarily reflects the Company’s share of entity level taxes.</w:t>
      </w:r>
    </w:p>
    <w:p>
      <w:pPr>
        <w:spacing w:after="0" w:line="144" w:lineRule="exact"/>
        <w:rPr>
          <w:sz w:val="20"/>
          <w:szCs w:val="20"/>
          <w:color w:val="auto"/>
        </w:rPr>
      </w:pPr>
    </w:p>
    <w:p>
      <w:pPr>
        <w:jc w:val="both"/>
        <w:ind w:right="520" w:firstLine="324"/>
        <w:spacing w:after="0" w:line="302" w:lineRule="auto"/>
        <w:rPr>
          <w:sz w:val="20"/>
          <w:szCs w:val="20"/>
          <w:color w:val="auto"/>
        </w:rPr>
      </w:pPr>
      <w:r>
        <w:rPr>
          <w:rFonts w:ascii="Arial" w:cs="Arial" w:eastAsia="Arial" w:hAnsi="Arial"/>
          <w:sz w:val="16"/>
          <w:szCs w:val="16"/>
          <w:color w:val="auto"/>
        </w:rPr>
        <w:t>Definite-lived acquired relationships at the Company’s equity method Affiliates are amortized over their expected period of economic benefit. The Company recognized amortization expense for these relationships of $59.2 million, $106.1 million and $97.5 million, respectively, for the years ended December 31, 2016, 2017 and 2018. Based on relationships existing as of December 31, 2018, the Company estimates the annual amortization expense attributable to its equity method Affiliates will be approximately $95 million in 2019, 2020 and 2021 and $75 million in 2022 and 2023.</w:t>
      </w:r>
    </w:p>
    <w:p>
      <w:pPr>
        <w:spacing w:after="0" w:line="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For the year ended December 31, 2017, the Company determined that the fair value of a U.S. alternative Affiliate had declined below its carrying value. The decline in the fair value of this Affiliate was the result of a cumulative decline in assets under management, coupled with the recent loss of a significant client, which had decreased the forecasted revenue of the Affiliate. The fair value of this Affiliate was determined using a discounted cash flow analysis, a level 3 fair value measurement, that projected future cash flows associated with the investment and discount rates that were developed with input from valuation experts. The significant assumptions used in the cash flow analysis include a projected growth rate of 10.0%, discount rates of 14.0% and 25.0% for asset and performance based fees, respectively, and a market participant tax rate of</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25.0%. The Company considered the decline in fair value to be other-than-temporary and, accordingly, the Company recognized a $93.1 million expense to reduce the asset to fair value.</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For the year ended December 31, 2018, the Company determined that the fair value of the U.S. alternative Affiliate and the fair value of one of its non-U.S. alternative Affiliates had declined below their respective carrying values. The decline in the fair values of these Affiliates was caused by declines in assets under management as a result of client redemptions, coupled with recent negative investment returns, which resulted in the decrease of forecasted performance based fees for these Affiliates. For the U.S. alternative Affiliate for which the Company recorded an expense to reduce the carrying value to fair value in 2017, the Company recorded an additional $33.3 million expense to reduce the carrying value of this Affiliate to zero as the business was liquidated. For the non-U.S. alternative Affiliate, the Company determined the fair value using a discounted cash flow analysis, a level 3 fair value measurement, that projected future cash flows associated with the investment and discount rates that were developed with input from valuation experts. The significant assumptions used in the cash flow analysis include a projected growth rate of 2.5%, discount rates of 11.0% and 20.0% for asset and performance based fees, respectively, and a market participant tax rate of 25.0%. The Company considered the decline in fair value to be other-than-temporary and, accordingly, the Company recognized a $240.0 million expense to reduce the asset to fair value.</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Company’s remaining equity method investments in Affiliates, the Company completed its annual evaluations as of December 31, 2017 and 2018 and no other impairments were identified.</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2,200.9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3,126.3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3,231.7</w:t>
            </w:r>
          </w:p>
        </w:tc>
      </w:tr>
      <w:tr>
        <w:trPr>
          <w:trHeight w:val="254"/>
        </w:trPr>
        <w:tc>
          <w:tcPr>
            <w:tcW w:w="6760" w:type="dxa"/>
            <w:vAlign w:val="bottom"/>
          </w:tcPr>
          <w:p>
            <w:pPr>
              <w:ind w:left="40"/>
              <w:spacing w:after="0"/>
              <w:rPr>
                <w:sz w:val="20"/>
                <w:szCs w:val="20"/>
                <w:color w:val="auto"/>
              </w:rPr>
            </w:pPr>
            <w:r>
              <w:rPr>
                <w:rFonts w:ascii="Arial" w:cs="Arial" w:eastAsia="Arial" w:hAnsi="Arial"/>
                <w:sz w:val="18"/>
                <w:szCs w:val="18"/>
                <w:color w:val="auto"/>
              </w:rPr>
              <w:t>Net income</w:t>
            </w:r>
            <w:r>
              <w:rPr>
                <w:rFonts w:ascii="Arial" w:cs="Arial" w:eastAsia="Arial" w:hAnsi="Arial"/>
                <w:sz w:val="18"/>
                <w:szCs w:val="18"/>
                <w:color w:val="auto"/>
                <w:vertAlign w:val="superscript"/>
              </w:rPr>
              <w:t>(1)</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1,286.1</w:t>
            </w:r>
          </w:p>
        </w:tc>
      </w:tr>
      <w:tr>
        <w:trPr>
          <w:trHeight w:val="550"/>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2,730.4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Liabilities and Non-controlling interests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1,235.1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2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vertAlign w:val="superscript"/>
        </w:rPr>
      </w:pPr>
      <w:r>
        <w:rPr>
          <w:rFonts w:ascii="Arial" w:cs="Arial" w:eastAsia="Arial" w:hAnsi="Arial"/>
          <w:sz w:val="18"/>
          <w:szCs w:val="18"/>
          <w:color w:val="auto"/>
        </w:rPr>
        <w:t>Revenue and the associated net income include asset and performance based fees and the impact of consolidated investment products.</w:t>
      </w:r>
    </w:p>
    <w:p>
      <w:pPr>
        <w:spacing w:after="0" w:line="225" w:lineRule="exact"/>
        <w:rPr>
          <w:rFonts w:ascii="Arial" w:cs="Arial" w:eastAsia="Arial" w:hAnsi="Arial"/>
          <w:sz w:val="18"/>
          <w:szCs w:val="18"/>
          <w:color w:val="auto"/>
          <w:vertAlign w:val="superscript"/>
        </w:rPr>
      </w:pPr>
    </w:p>
    <w:p>
      <w:pPr>
        <w:ind w:left="340" w:right="1640" w:hanging="332"/>
        <w:spacing w:after="0" w:line="518" w:lineRule="auto"/>
        <w:tabs>
          <w:tab w:leader="none" w:pos="340" w:val="left"/>
        </w:tabs>
        <w:numPr>
          <w:ilvl w:val="0"/>
          <w:numId w:val="43"/>
        </w:numPr>
        <w:rPr>
          <w:rFonts w:ascii="Arial" w:cs="Arial" w:eastAsia="Arial" w:hAnsi="Arial"/>
          <w:sz w:val="16"/>
          <w:szCs w:val="16"/>
          <w:color w:val="auto"/>
          <w:vertAlign w:val="superscript"/>
        </w:rPr>
      </w:pPr>
      <w:r>
        <w:rPr>
          <w:rFonts w:ascii="Arial" w:cs="Arial" w:eastAsia="Arial" w:hAnsi="Arial"/>
          <w:sz w:val="16"/>
          <w:szCs w:val="16"/>
          <w:color w:val="auto"/>
        </w:rPr>
        <w:t>Revenue and net income reflect investments in new Affiliates for the full-year, regardless of the date of the Company’s investment. The Company’s share of undistributed earnings from equity method investments was $92.4 million as of December 31, 2018.</w:t>
      </w:r>
    </w:p>
    <w:p>
      <w:pPr>
        <w:spacing w:after="0" w:line="43"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The Company has determined that one of its equity method Affiliates is significant under Rule 10-01(b)(1) of Regulation S-X. For the years ended December 31, 2017 and 2018, this equity method Affiliate recognized revenue of $1,317.8 million and $1,137.5 million, respectively, and net income of $806.6 million and $524.5 million, respectively.</w:t>
      </w:r>
    </w:p>
    <w:p>
      <w:pPr>
        <w:spacing w:after="0" w:line="231" w:lineRule="exact"/>
        <w:rPr>
          <w:sz w:val="20"/>
          <w:szCs w:val="20"/>
          <w:color w:val="auto"/>
        </w:rPr>
      </w:pPr>
    </w:p>
    <w:p>
      <w:pPr>
        <w:ind w:left="340" w:right="7860" w:hanging="332"/>
        <w:spacing w:after="0" w:line="699" w:lineRule="auto"/>
        <w:tabs>
          <w:tab w:leader="none" w:pos="3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Fixed Assets and Lease Commitments </w:t>
      </w:r>
      <w:r>
        <w:rPr>
          <w:rFonts w:ascii="Arial" w:cs="Arial" w:eastAsia="Arial" w:hAnsi="Arial"/>
          <w:sz w:val="16"/>
          <w:szCs w:val="16"/>
          <w:color w:val="auto"/>
        </w:rPr>
        <w:t>Fixed assets (net) consisted of the following: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leasehold improvements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Software</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51.0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Fixed assets, at cost</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250.7</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57"/>
        </w:trPr>
        <w:tc>
          <w:tcPr>
            <w:tcW w:w="8360" w:type="dxa"/>
            <w:vAlign w:val="bottom"/>
          </w:tcPr>
          <w:p>
            <w:pPr>
              <w:ind w:left="380"/>
              <w:spacing w:after="0"/>
              <w:rPr>
                <w:sz w:val="20"/>
                <w:szCs w:val="20"/>
                <w:color w:val="auto"/>
              </w:rPr>
            </w:pPr>
            <w:r>
              <w:rPr>
                <w:rFonts w:ascii="Arial" w:cs="Arial" w:eastAsia="Arial" w:hAnsi="Arial"/>
                <w:sz w:val="18"/>
                <w:szCs w:val="18"/>
                <w:color w:val="auto"/>
              </w:rPr>
              <w:t>Fixed assets (net)</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104.3</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and its consolidated Affiliates lease office space and equipment for their operations. At December 31, 2018, the Company’s aggregate future minimum payments for operating leases having initial or non-cancelable lease terms greater than one year were payable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Required Minimum</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378"/>
        </w:trPr>
        <w:tc>
          <w:tcPr>
            <w:tcW w:w="9280" w:type="dxa"/>
            <w:vAlign w:val="bottom"/>
            <w:gridSpan w:val="2"/>
          </w:tcPr>
          <w:p>
            <w:pPr>
              <w:ind w:left="340"/>
              <w:spacing w:after="0"/>
              <w:rPr>
                <w:sz w:val="20"/>
                <w:szCs w:val="20"/>
                <w:color w:val="auto"/>
              </w:rPr>
            </w:pPr>
            <w:r>
              <w:rPr>
                <w:rFonts w:ascii="Arial" w:cs="Arial" w:eastAsia="Arial" w:hAnsi="Arial"/>
                <w:sz w:val="18"/>
                <w:szCs w:val="18"/>
                <w:color w:val="auto"/>
                <w:w w:val="96"/>
              </w:rPr>
              <w:t>Consolidated rent expense for 2016, 2017 and 2018 was $35.5 million, $37.5 million and $40.5 million, respectively.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60" w:type="dxa"/>
            <w:vAlign w:val="bottom"/>
          </w:tcPr>
          <w:p>
            <w:pPr>
              <w:spacing w:after="0"/>
              <w:rPr>
                <w:sz w:val="20"/>
                <w:szCs w:val="20"/>
                <w:color w:val="auto"/>
              </w:rPr>
            </w:pPr>
            <w:r>
              <w:rPr>
                <w:rFonts w:ascii="Arial" w:cs="Arial" w:eastAsia="Arial" w:hAnsi="Arial"/>
                <w:sz w:val="18"/>
                <w:szCs w:val="18"/>
                <w:b w:val="1"/>
                <w:bCs w:val="1"/>
                <w:color w:val="auto"/>
              </w:rPr>
              <w:t>15. Payables and Accrued Liabilities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60" w:type="dxa"/>
            <w:vAlign w:val="bottom"/>
          </w:tcPr>
          <w:p>
            <w:pPr>
              <w:ind w:left="340"/>
              <w:spacing w:after="0"/>
              <w:rPr>
                <w:sz w:val="20"/>
                <w:szCs w:val="20"/>
                <w:color w:val="auto"/>
              </w:rPr>
            </w:pPr>
            <w:r>
              <w:rPr>
                <w:rFonts w:ascii="Arial" w:cs="Arial" w:eastAsia="Arial" w:hAnsi="Arial"/>
                <w:sz w:val="18"/>
                <w:szCs w:val="18"/>
                <w:color w:val="auto"/>
              </w:rPr>
              <w:t>Payables and accrued liabilities consisted of the following: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92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241.7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57"/>
        </w:trPr>
        <w:tc>
          <w:tcPr>
            <w:tcW w:w="8360" w:type="dxa"/>
            <w:vAlign w:val="bottom"/>
          </w:tcPr>
          <w:p>
            <w:pPr>
              <w:ind w:left="180"/>
              <w:spacing w:after="0"/>
              <w:rPr>
                <w:sz w:val="20"/>
                <w:szCs w:val="20"/>
                <w:color w:val="auto"/>
              </w:rPr>
            </w:pPr>
            <w:r>
              <w:rPr>
                <w:rFonts w:ascii="Arial" w:cs="Arial" w:eastAsia="Arial" w:hAnsi="Arial"/>
                <w:sz w:val="18"/>
                <w:szCs w:val="18"/>
                <w:color w:val="auto"/>
              </w:rPr>
              <w:t>Payables and accrued liabilities</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807.2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8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 prior owner of one of the Company’s consolidated Affiliates retained an interest in certain of the Affiliate’s private equity investment partnerships. The prior owner’s interests are presented in Other liabilities and were $61.2 million and $49.7 million at December 31, 2017 and 2018, respectively.</w:t>
      </w:r>
    </w:p>
    <w:p>
      <w:pPr>
        <w:spacing w:after="0" w:line="20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The Company and its Affiliates earn asset and performance based fees and incur distribution and other expenses for services provided to Affiliate sponsored investment products. In addition, Affiliate management owners and Company officers may serve as trustees or directors of certain investment vehicles from which an Affiliate earns fees.</w:t>
      </w:r>
    </w:p>
    <w:p>
      <w:pPr>
        <w:spacing w:after="0" w:line="23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had liabilities to related parties for contingent payment arrangements in connection with certain business combinations. The net present value of the total amounts payable were $9.4 million and $1.9 million as of December 31, 2017 and 2018, respectively, and were included in Other liabilities. For the years ended December 31, 2017 and 2018, the Company made $6.8 million and $8.8 million of payments associated with these liabilities, respectively. For the years ended December</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31, 2017 and 2018, the Company adjusted its estimates of contingent payment arrangements and recorded expenses of $6.6 million and $0.6 million, respectively. These amounts are included in Other expenses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related party transactions in association with its Affiliate equity transactions, as more fully described in Notes 19 and 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7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Company is authorized to issue up to 150.0 million shares of voting common stock and 3.0 million shares of class B non-voting common stock. As more fully described in Note 8, the Company is party to an equity distribution program under which the Company may sell shares of its common stock.</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Board of Directors authorized share repurchase programs in January 2018 and January 2017, authorizing the Company to repurchase up to 3.4 million and 1.9 million shares of its common stock, respectively, and these authorizations have no expiry. For the year ended December 31, 2018, the Company repurchased 3.3 million shares of this total authorized amount, at an average price per share of $150.31. As of December 31, 2018, 1.7 million shares remained available for repurchase under the January 2018 share repurchase program and no shares remained available for repurchase under the January 2017 program.</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share repurchase activity: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Repurchased</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2017</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173.19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7"/>
        </w:trPr>
        <w:tc>
          <w:tcPr>
            <w:tcW w:w="8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Equity and Equity Distribution Program</w:t>
      </w:r>
    </w:p>
    <w:p>
      <w:pPr>
        <w:spacing w:after="0" w:line="14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2016, the Company entered into an agreement to sell approximately 2.9 million shares of its common stock at a price of $167.25 per share on a forward basis. In 2016, the Company issued 2.7 million shares to settle a portion of this forward equity sale and received proceeds of $440.3 million, and net settled 0.2 million shares for cash at an average share price of $144.59. This agreement is no longer in effect.</w:t>
      </w:r>
    </w:p>
    <w:p>
      <w:pPr>
        <w:spacing w:after="0" w:line="100"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In 2016, the Company entered into separate equity distribution and forward equity agreements with several major securities firms under which the Company may, from time to time, issue and sell shares of its common stock (immediately or on a forward basis) having an aggregate sales price of up to $500.0 million (the “equity distribution program”). As of December 31, 2018, no sales had occurred under the equity distribution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79"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Plans</w:t>
      </w:r>
    </w:p>
    <w:p>
      <w:pPr>
        <w:spacing w:after="0" w:line="27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Company has established various plans under which it is authorized to grant restricted stock, restricted stock units, stock options and stock appreciation rights. The Company may also grant cash awards that can be notionally invested in one or</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be paid in cash or may be reinvested in the Company’s common stock.</w:t>
      </w:r>
    </w:p>
    <w:p>
      <w:pPr>
        <w:spacing w:after="0" w:line="23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total fair value of share-based compensation awards that vested was $20.7 million, $59.4 million and $5.9 million during the years ended December 31, 2016, 2017 and 2018,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Compensation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share-based compensation expense: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Share-Based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2"/>
                <w:szCs w:val="12"/>
                <w:color w:val="auto"/>
              </w:rPr>
            </w:pPr>
          </w:p>
        </w:tc>
        <w:tc>
          <w:tcPr>
            <w:tcW w:w="12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Tax Benefit</w:t>
            </w:r>
          </w:p>
        </w:tc>
        <w:tc>
          <w:tcPr>
            <w:tcW w:w="0" w:type="dxa"/>
            <w:vAlign w:val="bottom"/>
          </w:tcPr>
          <w:p>
            <w:pPr>
              <w:spacing w:after="0"/>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excess tax benefit recognized from share-based incentive plans was $10.9 million and $0.7 million during the years ended December 31, 2017 and 2018, respectively, and classified as an operating cash flow.</w:t>
      </w:r>
    </w:p>
    <w:p>
      <w:pPr>
        <w:spacing w:after="0" w:line="22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December 31, 2017, the Company had $63.5 million of unrecognized share-based compensation expense. As of December 31, 2018, the Company had $54.1 million of unrecognized share-based compensation, which will be recognized over a weighted average period of approximately two years (assuming no forfeitures).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transactions in the Company’s stock options: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Stock 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Unexercised options outstanding—December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Unexercised options outstanding—December 31,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138.97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granted stock options with fair values of $16.4 million, $0.8 million and $1.0 million for the years ended December 31, 2016, 2017 and 2018, respectively. Stock options generally vest over a period of three to four years and expire seven years after the grant date. All options have been granted with exercise prices equal to the closing price of the Company’s common stock on the grant date. In certain circumstances, option awards also require certain performance conditions to be satisfied in order for the options to be exercised.</w:t>
      </w:r>
    </w:p>
    <w:p>
      <w:pPr>
        <w:spacing w:after="0" w:line="10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generally uses treasury stock to settle stock option exercises. The total intrinsic value of options exercised during the years ended December 31, 2016, 2017 and 2018 was $27.7 million, $50.8 million and $8.2 million, respectively. The cash received for options exercised was $25.6 million, $41.9 million and $9.7 million during the years ended December 31, 2016, 2017 and 2018, respectively. As of December 31, 2018, the intrinsic value of exercisable options outstanding was $0.3 million, and 3.1 million options were available for grant under the Company’s option plans.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fair value of options granted was estimated using the Black-Scholes option pricing model and were $39.02, $48.05 and $48.64, per option, for the years ended December 31, 2016, 2017 and 2018, respectively. The weighted average grant date assumptions used to estimate the fair value of options granted were as follows: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62"/>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30.7%</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8"/>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18"/>
                <w:szCs w:val="18"/>
                <w:color w:val="auto"/>
                <w:vertAlign w:val="superscript"/>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2"/>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life of options (in years)</w:t>
            </w:r>
            <w:r>
              <w:rPr>
                <w:rFonts w:ascii="Arial" w:cs="Arial" w:eastAsia="Arial" w:hAnsi="Arial"/>
                <w:sz w:val="18"/>
                <w:szCs w:val="18"/>
                <w:color w:val="auto"/>
                <w:vertAlign w:val="superscript"/>
              </w:rPr>
              <w:t>(3)</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5.7</w:t>
            </w:r>
          </w:p>
        </w:tc>
      </w:tr>
      <w:tr>
        <w:trPr>
          <w:trHeight w:val="258"/>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Forfeiture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91"/>
        </w:trPr>
        <w:tc>
          <w:tcPr>
            <w:tcW w:w="658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bl>
    <w:p>
      <w:pPr>
        <w:spacing w:after="0" w:line="22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8"/>
          <w:szCs w:val="18"/>
          <w:color w:val="auto"/>
        </w:rPr>
        <w:t>Expected volatility is based on historical and implied volatility.</w:t>
      </w:r>
    </w:p>
    <w:p>
      <w:pPr>
        <w:spacing w:after="0" w:line="225"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8"/>
          <w:szCs w:val="18"/>
          <w:color w:val="auto"/>
        </w:rPr>
        <w:t>Risk-free interest rate is based on the U.S. Treasury yield curve in effect at the date of grant.</w:t>
      </w:r>
    </w:p>
    <w:p>
      <w:pPr>
        <w:spacing w:after="0" w:line="225"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8"/>
          <w:szCs w:val="18"/>
          <w:color w:val="auto"/>
        </w:rPr>
        <w:t>Expected life of options (in years) is based on the Company’s historical and expected exercise behavior.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transactions in the Company’s restricted stock units: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0"/>
              </w:rPr>
              <w:t>Restricted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89"/>
              </w:rPr>
              <w:t>Stock</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9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units—December 31, 2017</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162.32</w:t>
            </w:r>
          </w:p>
        </w:tc>
        <w:tc>
          <w:tcPr>
            <w:tcW w:w="0" w:type="dxa"/>
            <w:vAlign w:val="bottom"/>
          </w:tcPr>
          <w:p>
            <w:pPr>
              <w:spacing w:after="0"/>
              <w:rPr>
                <w:sz w:val="1"/>
                <w:szCs w:val="1"/>
                <w:color w:val="auto"/>
              </w:rPr>
            </w:pPr>
          </w:p>
        </w:tc>
      </w:tr>
      <w:tr>
        <w:trPr>
          <w:trHeight w:val="243"/>
        </w:trPr>
        <w:tc>
          <w:tcPr>
            <w:tcW w:w="9420" w:type="dxa"/>
            <w:vAlign w:val="bottom"/>
            <w:gridSpan w:val="2"/>
          </w:tcPr>
          <w:p>
            <w:pPr>
              <w:ind w:left="180"/>
              <w:spacing w:after="0"/>
              <w:rPr>
                <w:sz w:val="20"/>
                <w:szCs w:val="20"/>
                <w:color w:val="auto"/>
              </w:rPr>
            </w:pPr>
            <w:r>
              <w:rPr>
                <w:rFonts w:ascii="Arial" w:cs="Arial" w:eastAsia="Arial" w:hAnsi="Arial"/>
                <w:sz w:val="18"/>
                <w:szCs w:val="18"/>
                <w:color w:val="auto"/>
              </w:rPr>
              <w:t>Units 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Units 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43"/>
        </w:trPr>
        <w:tc>
          <w:tcPr>
            <w:tcW w:w="9420" w:type="dxa"/>
            <w:vAlign w:val="bottom"/>
            <w:gridSpan w:val="2"/>
          </w:tcPr>
          <w:p>
            <w:pPr>
              <w:ind w:left="180"/>
              <w:spacing w:after="0"/>
              <w:rPr>
                <w:sz w:val="20"/>
                <w:szCs w:val="20"/>
                <w:color w:val="auto"/>
              </w:rPr>
            </w:pPr>
            <w:r>
              <w:rPr>
                <w:rFonts w:ascii="Arial" w:cs="Arial" w:eastAsia="Arial" w:hAnsi="Arial"/>
                <w:sz w:val="18"/>
                <w:szCs w:val="18"/>
                <w:color w:val="auto"/>
              </w:rPr>
              <w:t>Units forfeited</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154.92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Unvested units—December 31, 2018</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granted awards with fair values of $28.0 million, $36.9 million and $37.7 million for the years ended December 31, 2016, 2017 and 2018, respectively. These awards were valued based on the closing price of the Company’s common stock on the grant date and the number of awards expected to be delivered. Awards containing vesting conditions generally require service over a period of three to four years and may also require the satisfaction of certain performance conditions. In certain cases, awards with performance conditions may use structures whereby the number of shares of the Company’s common stock that an employee ultimately receives at vesting will be equal to the base number of restricted stock units granted, multiplied by a predetermined percentage determined in accordance with the level of attainment of Company performance measures during the performance period and could be higher or lower than the original restricted stock unit grant. During the years ended December 31, 2017 and 2018, there were no changes in the Company’s estimate of the number of shares expected to be delivered.</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 had 0.9 million shares available for grant under its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Redeemable Non-Controlling Interests</w:t>
      </w:r>
    </w:p>
    <w:p>
      <w:pPr>
        <w:spacing w:after="0" w:line="14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and 15 years from the date the equity interest is received or on an annual basis following an Affiliate equity holder’s departure). Prior to becoming redeemable, the value of the Company’s Affiliate equity is presented within Non-controlling interests. Upon becoming redeemable, the value of these interests is reclassified and the current redemption value of these interests is presented as Redeemable non-controlling interests. Changes in the current redemption value are recorded to Additional paid-in capital. When the Company receives a put notice and, therefore, has an unconditional obligation to repurchase Affiliate equity interests, they are reclassified to Other liabilities. The following table presents the changes in Redeemable non-controlling interests:</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Redeemable Non-controlling Interests</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attributable to Affiliate sponsored consolidated products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to Other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Transfers from Non-controlling interests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redemption value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61"/>
        </w:trPr>
        <w:tc>
          <w:tcPr>
            <w:tcW w:w="8340" w:type="dxa"/>
            <w:vAlign w:val="bottom"/>
          </w:tcPr>
          <w:p>
            <w:pPr>
              <w:ind w:left="40"/>
              <w:spacing w:after="0"/>
              <w:rPr>
                <w:sz w:val="20"/>
                <w:szCs w:val="20"/>
                <w:color w:val="auto"/>
              </w:rPr>
            </w:pPr>
            <w:r>
              <w:rPr>
                <w:rFonts w:ascii="Arial" w:cs="Arial" w:eastAsia="Arial" w:hAnsi="Arial"/>
                <w:sz w:val="18"/>
                <w:szCs w:val="18"/>
                <w:color w:val="auto"/>
              </w:rPr>
              <w:t>Balance, end of period</w:t>
            </w:r>
            <w:r>
              <w:rPr>
                <w:rFonts w:ascii="Arial" w:cs="Arial" w:eastAsia="Arial" w:hAnsi="Arial"/>
                <w:sz w:val="18"/>
                <w:szCs w:val="18"/>
                <w:color w:val="auto"/>
                <w:vertAlign w:val="superscript"/>
              </w:rPr>
              <w:t>(1)</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4"/>
                <w:szCs w:val="14"/>
                <w:color w:val="auto"/>
              </w:rPr>
              <w:t>__________________________</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3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right="340" w:hanging="332"/>
        <w:spacing w:after="0" w:line="277"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8"/>
          <w:szCs w:val="18"/>
          <w:color w:val="auto"/>
        </w:rPr>
        <w:t>As of December 31, 2017 and 2018, Redeemable non-controlling interests include Affiliate sponsored consolidated products primarily attributable to third-party investors of $39.4 million and $91.0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Affiliate Equity</w:t>
      </w:r>
    </w:p>
    <w:p>
      <w:pPr>
        <w:spacing w:after="0" w:line="148"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Affiliate equity holders (non-controlling interests) were $354.1 million, $352.2 million and $370.5 million for the years ended December 31, 2016, 2017 and 2018, respectively.</w:t>
      </w:r>
    </w:p>
    <w:p>
      <w:pPr>
        <w:spacing w:after="0" w:line="16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Affiliate equity interests provide the Company a conditional right to call (on an annual basis following an Affiliate equity holder’s departure) and Affiliate equity holders have a conditional right to put their interests at certain intervals (between five and 15 years from the date the equity interest is received or on an annual basis following an Affiliate equity holder’s departure). Affiliate equity holders are also permitted to sell their equity interests to other individuals or entities in certain cases, subject to the Company's approval or other restrictions. The purchase price of these conditional purchases are generally calculated based upon a multiple of cash flow distributions, which is intended to represent fair value. The Company, at its option, may pay for Affiliate equity purchases in cash, shares of its common stock or other forms of consideration and can consent to the transfer of these interests to other individuals or entities.</w:t>
      </w:r>
    </w:p>
    <w:p>
      <w:pPr>
        <w:spacing w:after="0" w:line="8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periodically repurchases Affiliate equity interests from and issues Affiliate equity interests to its Affiliate partners and its officers. The amount of cash paid for repurchases was $115.8 million, $174.7 million and $120.0 million for the years ended December 31, 2016, 2017 and 2018, respectively. The total amount of cash received for issuances was $11.8 million, $9.0 million and $6.3 million for the years ended December 31, 2016, 2017 and 2018, respectively.</w:t>
      </w:r>
    </w:p>
    <w:p>
      <w:pPr>
        <w:spacing w:after="0" w:line="10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Sales and repurchases of Affiliate equity generally occur at fair value; however, the Company also grants Affiliate equity to its Affiliate partners and its officers as a form of compensation. If the equity is issued for consideration below the fair value of the equity, or repurchased for consideration above the fair value of the equity, then such difference is recorded as compensation expense in Compensation and related expenses in the Consolidated Statements of Income over the requisite service period.</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Affiliate equity compensation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39.7</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unrecognized Affiliate equity compensation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3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Controlling Interest</w:t>
            </w:r>
          </w:p>
        </w:tc>
        <w:tc>
          <w:tcPr>
            <w:tcW w:w="120" w:type="dxa"/>
            <w:vAlign w:val="bottom"/>
            <w:vMerge w:val="restart"/>
          </w:tcPr>
          <w:p>
            <w:pPr>
              <w:spacing w:after="0"/>
              <w:rPr>
                <w:sz w:val="14"/>
                <w:szCs w:val="14"/>
                <w:color w:val="auto"/>
              </w:rPr>
            </w:pPr>
          </w:p>
        </w:tc>
        <w:tc>
          <w:tcPr>
            <w:tcW w:w="14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Remaining Life</w:t>
            </w:r>
          </w:p>
        </w:tc>
        <w:tc>
          <w:tcPr>
            <w:tcW w:w="10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Non-controlling</w:t>
            </w:r>
          </w:p>
        </w:tc>
        <w:tc>
          <w:tcPr>
            <w:tcW w:w="14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4 years  $</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780" w:type="dxa"/>
            <w:vAlign w:val="bottom"/>
            <w:gridSpan w:val="3"/>
          </w:tcPr>
          <w:p>
            <w:pPr>
              <w:ind w:left="940"/>
              <w:spacing w:after="0"/>
              <w:rPr>
                <w:sz w:val="20"/>
                <w:szCs w:val="20"/>
                <w:color w:val="auto"/>
              </w:rPr>
            </w:pPr>
            <w:r>
              <w:rPr>
                <w:rFonts w:ascii="Arial" w:cs="Arial" w:eastAsia="Arial" w:hAnsi="Arial"/>
                <w:sz w:val="18"/>
                <w:szCs w:val="18"/>
                <w:color w:val="auto"/>
              </w:rPr>
              <w:t>5 years</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5 years</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records amounts receivable from and payable to Affiliate equity holders in connection with the transfer of Affiliate equity interests that have not settled at the end of the period. The total receivable was $12.4 million and $16.2 million at December 31, 2017 and 2018, respectively, and was included in Other assets. The total payable was $49.2 million and $36.2 million as of December 31, 2017 and 2018, respectively, and was included in Other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of Changes in the Company’s Ownership in Affiliates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recognized in the Consolidated Statements of Income or the Consolidated Statements of Comprehensive Income.</w:t>
      </w:r>
    </w:p>
    <w:p>
      <w:pPr>
        <w:spacing w:after="0" w:line="106"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settled during the periods: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(controlling interest)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472.8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243.6</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w w:val="96"/>
              </w:rPr>
              <w:t>Increase (decrease) in controlling interest paid-in capital from Affiliate equity issuances</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controlling interest paid-in capital from Affiliate equity repurchases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w w:val="98"/>
              </w:rPr>
              <w:t>Net income (controlling interest) including the net impact of Affiliate equity transactions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436.4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572.3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170.7</w:t>
            </w: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Benefit Plans</w:t>
      </w:r>
    </w:p>
    <w:p>
      <w:pPr>
        <w:spacing w:after="0" w:line="28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limits. The Company’s consolidated Affiliates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Internal Revenue Service limits. Consolidated expenses related to these plans were $18.9 million, $20.1 million and $20.8 million for the years ended December 31, 2016, 2017 and 2018, respectively. The controlling interest’s portion of expenses related to these plans were $3.7 million, $3.9 million and $4.8 million for the years ended December 31, 2016, 2017 and 2018,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148" w:lineRule="exact"/>
        <w:rPr>
          <w:sz w:val="20"/>
          <w:szCs w:val="20"/>
          <w:color w:val="auto"/>
        </w:rPr>
      </w:pPr>
    </w:p>
    <w:p>
      <w:pPr>
        <w:ind w:left="40" w:right="200" w:firstLine="243"/>
        <w:spacing w:after="0" w:line="277" w:lineRule="auto"/>
        <w:rPr>
          <w:sz w:val="20"/>
          <w:szCs w:val="20"/>
          <w:color w:val="auto"/>
        </w:rPr>
      </w:pPr>
      <w:r>
        <w:rPr>
          <w:rFonts w:ascii="Arial" w:cs="Arial" w:eastAsia="Arial" w:hAnsi="Arial"/>
          <w:sz w:val="18"/>
          <w:szCs w:val="18"/>
          <w:color w:val="auto"/>
        </w:rPr>
        <w:t>The Company’s consolidated income tax provision includes taxes attributable to the controlling interest and, to a lesser extent, taxes attributable to non-controlling interests.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consolidated provision for income taxes: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Current tax</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168.1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117.2</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Intangible-related deferred taxes</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79.7</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Other deferred taxes</w:t>
            </w:r>
          </w:p>
        </w:tc>
        <w:tc>
          <w:tcPr>
            <w:tcW w:w="9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97"/>
              </w:rPr>
              <w:t>(23.2)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(27.5)</w:t>
            </w:r>
          </w:p>
        </w:tc>
      </w:tr>
      <w:tr>
        <w:trPr>
          <w:trHeight w:val="27"/>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controlling interest</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229.2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169.4</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tax</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12.2</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27"/>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11.9</w:t>
            </w:r>
          </w:p>
        </w:tc>
      </w:tr>
      <w:tr>
        <w:trPr>
          <w:trHeight w:val="297"/>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235.6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181.3</w:t>
            </w:r>
          </w:p>
        </w:tc>
      </w:tr>
      <w:tr>
        <w:trPr>
          <w:trHeight w:val="251"/>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(controlling interest)</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702.0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413.0</w:t>
            </w: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580" w:type="dxa"/>
            <w:vAlign w:val="bottom"/>
          </w:tcPr>
          <w:p>
            <w:pPr>
              <w:ind w:left="40"/>
              <w:spacing w:after="0"/>
              <w:rPr>
                <w:sz w:val="20"/>
                <w:szCs w:val="20"/>
                <w:color w:val="auto"/>
              </w:rPr>
            </w:pPr>
            <w:r>
              <w:rPr>
                <w:rFonts w:ascii="Arial" w:cs="Arial" w:eastAsia="Arial" w:hAnsi="Arial"/>
                <w:sz w:val="18"/>
                <w:szCs w:val="18"/>
                <w:color w:val="auto"/>
              </w:rPr>
              <w:t>Effective tax rate (controlling interest)</w:t>
            </w:r>
            <w:r>
              <w:rPr>
                <w:rFonts w:ascii="Arial" w:cs="Arial" w:eastAsia="Arial" w:hAnsi="Arial"/>
                <w:sz w:val="18"/>
                <w:szCs w:val="18"/>
                <w:color w:val="auto"/>
                <w:vertAlign w:val="superscript"/>
              </w:rPr>
              <w:t>(1)</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182"/>
        </w:trPr>
        <w:tc>
          <w:tcPr>
            <w:tcW w:w="658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200" w:lineRule="exact"/>
        <w:rPr>
          <w:sz w:val="20"/>
          <w:szCs w:val="20"/>
          <w:color w:val="auto"/>
        </w:rPr>
      </w:pPr>
    </w:p>
    <w:p>
      <w:pPr>
        <w:ind w:left="340" w:right="3480" w:hanging="332"/>
        <w:spacing w:after="0" w:line="504" w:lineRule="auto"/>
        <w:tabs>
          <w:tab w:leader="none" w:pos="340" w:val="left"/>
        </w:tabs>
        <w:numPr>
          <w:ilvl w:val="0"/>
          <w:numId w:val="47"/>
        </w:numPr>
        <w:rPr>
          <w:rFonts w:ascii="Arial" w:cs="Arial" w:eastAsia="Arial" w:hAnsi="Arial"/>
          <w:sz w:val="18"/>
          <w:szCs w:val="18"/>
          <w:color w:val="auto"/>
          <w:vertAlign w:val="superscript"/>
        </w:rPr>
      </w:pPr>
      <w:r>
        <w:rPr>
          <w:rFonts w:ascii="Arial" w:cs="Arial" w:eastAsia="Arial" w:hAnsi="Arial"/>
          <w:sz w:val="18"/>
          <w:szCs w:val="18"/>
          <w:color w:val="auto"/>
        </w:rPr>
        <w:t>Taxes attributable to the controlling interest divided by Income before income taxes (controlling interest). The consolidated provision for income taxes consisted of the following:</w:t>
      </w: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103.4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176.3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Deferred:</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340"/>
              <w:spacing w:after="0"/>
              <w:rPr>
                <w:sz w:val="20"/>
                <w:szCs w:val="20"/>
                <w:color w:val="auto"/>
              </w:rPr>
            </w:pPr>
            <w:r>
              <w:rPr>
                <w:rFonts w:ascii="Arial" w:cs="Arial" w:eastAsia="Arial" w:hAnsi="Arial"/>
                <w:sz w:val="18"/>
                <w:szCs w:val="18"/>
                <w:color w:val="auto"/>
                <w:w w:val="91"/>
              </w:rPr>
              <w:t>For financial reporting purposes, Income before income taxes consisted of the following:</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688.1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w w:val="97"/>
              </w:rPr>
              <w:t>286.5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974.6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U.S. federal statutory tax rate to the Company’s effective tax rate: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3.7</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operations</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Effect of changes in tax law, rates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(25.2)</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 in carrying value of an equity method investment</w:t>
            </w:r>
          </w:p>
        </w:tc>
        <w:tc>
          <w:tcPr>
            <w:tcW w:w="1640" w:type="dxa"/>
            <w:vAlign w:val="bottom"/>
            <w:tcBorders>
              <w:bottom w:val="single" w:sz="8" w:color="CCEEFF"/>
            </w:tcBorders>
            <w:gridSpan w:val="3"/>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13.0</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2.0</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 (controlling interest)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32.6 %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Effect of income from non-controlling interests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(15.6)</w:t>
            </w:r>
          </w:p>
        </w:tc>
      </w:tr>
      <w:tr>
        <w:trPr>
          <w:trHeight w:val="27"/>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24.2 %</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For the year ended December 31, 2018, the effective tax rate (controlling interest) was 41.0% compared to 6.8% for the year ended December 31, 2017. The increase in the effective tax rate (controlling interest) in 2018 was primarily due to a provisional one-time benefit of $194.1 million recorded in 2017 as a result of changes in U.S. tax laws, which did not recur in 2018. The provisional one-time benefit was primarily due to a $216.9 million benefit from the re-measurement of the Company’s deferred tax liabilities associated with its intangible assets and convertible securities, partially offset by a $22.8 million transition tax on deemed repatriated foreign earnings. The increase in the effective tax rate (controlling interest) in 2018 was also due to a $240.0 million expense recorded to reduce the carrying value to fair value of one of the Company’s non-U.S. alternative Affiliates accounted for under the equity method for which the Company did not recognize an income tax benefit under GAAP. The Company finalized its accounting for the changes in U.S. tax laws in the three months ended December 31, 2018 and no significant adjustments were made to the provisional amount.</w:t>
      </w:r>
    </w:p>
    <w:p>
      <w:pPr>
        <w:spacing w:after="0" w:line="17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For the year ended December 31, 2017, the effective tax rate (controlling interest) was 6.8% compared to 32.6% for the year ended December 31, 2016. The decrease in the effective tax rate (controlling interest) in 2017 was primarily due to the provisional one-time benefit recorded for the changes in U.S. tax laws.</w:t>
      </w:r>
    </w:p>
    <w:p>
      <w:pPr>
        <w:spacing w:after="0" w:line="19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Deferred income tax liability (net) reflects the expected future tax consequences of temporary differences between the financial reporting basis and tax basis of the Company’s assets and liabilities. The significant components of the Company’s Deferred income tax liability (net) are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net operating loss carryforwards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Foreign loss carryforwards</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benefit of uncertain tax positions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 assets, net of valuation allowance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Convertible securities interest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Non-deductible intangible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(499.5)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liability (net)</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At December 31, 2018, the Company had available state net operating loss carryforwards of $455.0 million, a majority of which will expire over a 15-to-20-year period. At December 31, 2018, the Company had foreign loss carryforwards of $63.1 million, of which $54.1 million will expire over a 20-year period and the balance will carry forward indefinitely.</w:t>
      </w:r>
    </w:p>
    <w:p>
      <w:pPr>
        <w:spacing w:after="0" w:line="20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color w:val="auto"/>
        </w:rPr>
        <w:t>The Company believes that it is more-likely-than-not that the benefit from its state and foreign loss carryforwards will not be fully realized and recorded a valuation allowance of $9.8 million and $14.3 million on the state and foreign loss carryforwards, respectively. For the year ended December 31, 2017, the Company increased its valuation allowance $2.0 million. For the year ended December 31, 2018, the Company made no adjustments to the valuation allowance.</w:t>
      </w:r>
    </w:p>
    <w:p>
      <w:pPr>
        <w:spacing w:after="0" w:line="17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continues not to provide for U.S. income taxes on the excess of the financial reporting bases over tax bases in the Company’s investments in foreign subsidiaries considered permanent in duration. Such amount would generally become 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2018, the estimated amount of such difference was $225.4 million.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changes in unrecognized tax benefits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based on current year tax positions</w:t>
            </w:r>
          </w:p>
        </w:tc>
        <w:tc>
          <w:tcPr>
            <w:tcW w:w="9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prior years’ tax positions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Reduction for prior years’ tax positions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related to lapses of statutes of limitations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(reductions) related to foreign exchange rates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Included in the balance of unrecognized tax benefits at December 31, 2016, 2017 and 2018 were $26.0 million, $32.4 million and $33.1 million, respectively, of tax benefits that, if recognized, would favorably affect the Company’s effective tax rate (controlling interest).</w:t>
      </w:r>
    </w:p>
    <w:p>
      <w:pPr>
        <w:spacing w:after="0" w:line="66"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Company records accrued interest and penalties, if any, related to unrecognized tax benefits in Income tax expense. The Company had $1.4 million, $1.7 million and $2.1 million in interest related to unrecognized tax benefits accrued at December 31, 2016, 2017 and 2018, respectively, which are included in the table above. For the years ended December 31, 2016, 2017 and 2018, no significant penalties were recorded in Income tax expense.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expect any significant changes to its liability for unrecognized tax benefits during the next 12 months.</w:t>
      </w:r>
    </w:p>
    <w:p>
      <w:pPr>
        <w:spacing w:after="0" w:line="14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 is subject to U.S. federal, state and local, and foreign income tax in multiple jurisdictions and is also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Earnings Per Share</w:t>
      </w:r>
    </w:p>
    <w:p>
      <w:pPr>
        <w:spacing w:after="0" w:line="2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 The following is a reconciliation of the numerator and denominator used in the calculation of basic and diluted earnings per share available to common stockholders: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income (controlling interest)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472.8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243.6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convertible securities, net of taxes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(controlling interest), as adjusted</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488.3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243.6</w:t>
            </w: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Average shares outstanding (basic)</w:t>
            </w:r>
          </w:p>
        </w:tc>
        <w:tc>
          <w:tcPr>
            <w:tcW w:w="9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53.6</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Stock options and restricted stock units</w:t>
            </w:r>
          </w:p>
        </w:tc>
        <w:tc>
          <w:tcPr>
            <w:tcW w:w="9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securities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Average shares outstanding (diluted)</w:t>
            </w: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53.8</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Average shares outstanding (diluted) in the table above excludes share-based awards that have not satisfied performance conditions and the anti-dilutive effect of the following: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Convertible securities</w:t>
            </w:r>
          </w:p>
        </w:tc>
        <w:tc>
          <w:tcPr>
            <w:tcW w:w="1600" w:type="dxa"/>
            <w:vAlign w:val="bottom"/>
            <w:gridSpan w:val="3"/>
          </w:tcPr>
          <w:p>
            <w:pPr>
              <w:jc w:val="right"/>
              <w:ind w:right="118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2.2</w:t>
            </w:r>
          </w:p>
        </w:tc>
      </w:tr>
    </w:tbl>
    <w:p>
      <w:pPr>
        <w:spacing w:after="0" w:line="148"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Company may settle portions of its Affiliate equity purchases in shares of its common stock. Because it is the Company’s intention to settle these potential purchases in cash, the calculation of Average shares outstanding (diluted) excludes any potential dilutive effect from possible share settlements of Affiliate equity purchases.</w:t>
      </w:r>
    </w:p>
    <w:p>
      <w:pPr>
        <w:spacing w:after="0" w:line="23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tax effects allocated to each component of Other comprehensive income (loss):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w w:val="92"/>
              </w:rPr>
              <w:t>For the Year Ended December 31, 2016</w:t>
            </w:r>
          </w:p>
        </w:tc>
        <w:tc>
          <w:tcPr>
            <w:tcW w:w="108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Pre-Tax</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Tax Benefit (Expense)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32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gain (loss) on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2"/>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080" w:type="dxa"/>
            <w:vAlign w:val="bottom"/>
            <w:tcBorders>
              <w:bottom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Pre-Tax</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Tax Benefit (Expense)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gain (loss) on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119.5</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2"/>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96"/>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080" w:type="dxa"/>
            <w:vAlign w:val="bottom"/>
            <w:tcBorders>
              <w:bottom w:val="single" w:sz="8" w:color="auto"/>
            </w:tcBorders>
          </w:tcPr>
          <w:p>
            <w:pPr>
              <w:spacing w:after="0"/>
              <w:rPr>
                <w:sz w:val="24"/>
                <w:szCs w:val="24"/>
                <w:color w:val="auto"/>
              </w:rPr>
            </w:pPr>
          </w:p>
        </w:tc>
      </w:tr>
      <w:tr>
        <w:trPr>
          <w:trHeight w:val="264"/>
        </w:trPr>
        <w:tc>
          <w:tcPr>
            <w:tcW w:w="6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Pre-Tax</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Tax Benefit (Expense)</w:t>
            </w:r>
          </w:p>
        </w:tc>
        <w:tc>
          <w:tcPr>
            <w:tcW w:w="400" w:type="dxa"/>
            <w:vAlign w:val="bottom"/>
          </w:tcPr>
          <w:p>
            <w:pPr>
              <w:spacing w:after="0"/>
              <w:rPr>
                <w:sz w:val="22"/>
                <w:szCs w:val="22"/>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net of taxes,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Realized and</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Derivative Financial</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Securities </w:t>
            </w:r>
            <w:r>
              <w:rPr>
                <w:rFonts w:ascii="Arial" w:cs="Arial" w:eastAsia="Arial" w:hAnsi="Arial"/>
                <w:sz w:val="8"/>
                <w:szCs w:val="8"/>
                <w:b w:val="1"/>
                <w:bCs w:val="1"/>
                <w:color w:val="auto"/>
                <w:w w:val="91"/>
              </w:rPr>
              <w:t>(1)</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8"/>
          <w:szCs w:val="18"/>
          <w:color w:val="auto"/>
        </w:rPr>
        <w:t>In connection with the Company’s adoption of ASU 2016-01, the unrealized gains on investment securities, which related to the non-controlling interests, were reclassified to Non-controlling interests.</w:t>
      </w:r>
    </w:p>
    <w:p>
      <w:pPr>
        <w:spacing w:after="0" w:line="8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quarterly results of operations of the Company for the years ended December 31, 2017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3"/>
                <w:szCs w:val="13"/>
                <w:color w:val="auto"/>
              </w:rPr>
            </w:pPr>
          </w:p>
        </w:tc>
        <w:tc>
          <w:tcPr>
            <w:tcW w:w="100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3"/>
                <w:szCs w:val="13"/>
                <w:color w:val="auto"/>
              </w:rPr>
            </w:pPr>
          </w:p>
        </w:tc>
        <w:tc>
          <w:tcPr>
            <w:tcW w:w="11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264.0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(controlling interest)</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315.4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w:t>
            </w:r>
          </w:p>
        </w:tc>
      </w:tr>
      <w:tr>
        <w:trPr>
          <w:trHeight w:val="399"/>
        </w:trPr>
        <w:tc>
          <w:tcPr>
            <w:tcW w:w="5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3"/>
                <w:szCs w:val="13"/>
                <w:color w:val="auto"/>
              </w:rPr>
            </w:pPr>
          </w:p>
        </w:tc>
        <w:tc>
          <w:tcPr>
            <w:tcW w:w="100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3"/>
                <w:szCs w:val="13"/>
                <w:color w:val="auto"/>
              </w:rPr>
            </w:pPr>
          </w:p>
        </w:tc>
        <w:tc>
          <w:tcPr>
            <w:tcW w:w="112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Quarter</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Quarter</w:t>
            </w:r>
            <w:r>
              <w:rPr>
                <w:rFonts w:ascii="Arial" w:cs="Arial" w:eastAsia="Arial" w:hAnsi="Arial"/>
                <w:sz w:val="8"/>
                <w:szCs w:val="8"/>
                <w:b w:val="1"/>
                <w:bCs w:val="1"/>
                <w:color w:val="auto"/>
                <w:w w:val="99"/>
              </w:rPr>
              <w:t>(2)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(controlling interest)</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5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1" w:lineRule="exact"/>
        <w:rPr>
          <w:sz w:val="20"/>
          <w:szCs w:val="20"/>
          <w:color w:val="auto"/>
        </w:rPr>
      </w:pPr>
    </w:p>
    <w:p>
      <w:pPr>
        <w:ind w:left="340" w:right="20" w:hanging="332"/>
        <w:spacing w:after="0" w:line="264"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8"/>
          <w:szCs w:val="18"/>
          <w:color w:val="auto"/>
        </w:rPr>
        <w:t>In the fourth quarter of 2017, the Company recorded a one-time net benefit from changes in U.S. tax laws (see Note 22 for additional information) and an expense to reduce the carrying value of one of its U.S. alternative Affiliates accounted for under the equity method (see Note 13 for additional information).</w:t>
      </w:r>
    </w:p>
    <w:p>
      <w:pPr>
        <w:spacing w:after="0" w:line="181" w:lineRule="exact"/>
        <w:rPr>
          <w:rFonts w:ascii="Arial" w:cs="Arial" w:eastAsia="Arial" w:hAnsi="Arial"/>
          <w:sz w:val="18"/>
          <w:szCs w:val="18"/>
          <w:color w:val="auto"/>
          <w:vertAlign w:val="superscript"/>
        </w:rPr>
      </w:pPr>
    </w:p>
    <w:p>
      <w:pPr>
        <w:ind w:left="340" w:right="180" w:hanging="332"/>
        <w:spacing w:after="0" w:line="308" w:lineRule="auto"/>
        <w:tabs>
          <w:tab w:leader="none" w:pos="340" w:val="left"/>
        </w:tabs>
        <w:numPr>
          <w:ilvl w:val="0"/>
          <w:numId w:val="51"/>
        </w:numPr>
        <w:rPr>
          <w:rFonts w:ascii="Arial" w:cs="Arial" w:eastAsia="Arial" w:hAnsi="Arial"/>
          <w:sz w:val="17"/>
          <w:szCs w:val="17"/>
          <w:color w:val="auto"/>
          <w:vertAlign w:val="superscript"/>
        </w:rPr>
      </w:pPr>
      <w:r>
        <w:rPr>
          <w:rFonts w:ascii="Arial" w:cs="Arial" w:eastAsia="Arial" w:hAnsi="Arial"/>
          <w:sz w:val="17"/>
          <w:szCs w:val="17"/>
          <w:color w:val="auto"/>
        </w:rPr>
        <w:t>For the year ended December 31, 2018, the Company recorded expenses to reduce the carrying value of the U.S. alternative Affiliate to zero and one of its non-U.S. alternative Affiliates accounted for under the equity method to fair value (see Note 13 for additional information).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Geographic Information</w:t>
      </w:r>
    </w:p>
    <w:p>
      <w:pPr>
        <w:spacing w:after="0" w:line="28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Consolidated revenue and Fixed assets (net) of the Company by geographic location. This information is primarily based on the location of the headquarters of the Affiliate.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2"/>
              </w:rPr>
              <w:t>For the Years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1,571.4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1,611.7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2,194.6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2,378.4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3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Assets (net)</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76</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Valuation and Qualifying Accounts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Charged to Costs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Period</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and Expenses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Valuation Allowance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532"/>
        </w:trPr>
        <w:tc>
          <w:tcPr>
            <w:tcW w:w="3880" w:type="dxa"/>
            <w:vAlign w:val="bottom"/>
          </w:tcPr>
          <w:p>
            <w:pPr>
              <w:ind w:left="40"/>
              <w:spacing w:after="0"/>
              <w:rPr>
                <w:sz w:val="20"/>
                <w:szCs w:val="20"/>
                <w:color w:val="auto"/>
              </w:rPr>
            </w:pPr>
            <w:r>
              <w:rPr>
                <w:rFonts w:ascii="Arial" w:cs="Arial" w:eastAsia="Arial" w:hAnsi="Arial"/>
                <w:sz w:val="18"/>
                <w:szCs w:val="18"/>
                <w:color w:val="auto"/>
              </w:rPr>
              <w:t>Other Allowances</w:t>
            </w:r>
            <w:r>
              <w:rPr>
                <w:rFonts w:ascii="Arial" w:cs="Arial" w:eastAsia="Arial" w:hAnsi="Arial"/>
                <w:sz w:val="18"/>
                <w:szCs w:val="18"/>
                <w:color w:val="auto"/>
                <w:vertAlign w:val="superscript"/>
              </w:rPr>
              <w:t>(1)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Arial" w:cs="Arial" w:eastAsia="Arial" w:hAnsi="Arial"/>
                <w:sz w:val="14"/>
                <w:szCs w:val="14"/>
                <w:color w:val="auto"/>
              </w:rPr>
              <w:t>__________________________</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40" w:right="300" w:hanging="332"/>
        <w:spacing w:after="0" w:line="342" w:lineRule="auto"/>
        <w:tabs>
          <w:tab w:leader="none" w:pos="340" w:val="left"/>
        </w:tabs>
        <w:numPr>
          <w:ilvl w:val="0"/>
          <w:numId w:val="52"/>
        </w:numPr>
        <w:rPr>
          <w:rFonts w:ascii="Arial" w:cs="Arial" w:eastAsia="Arial" w:hAnsi="Arial"/>
          <w:sz w:val="16"/>
          <w:szCs w:val="16"/>
          <w:color w:val="auto"/>
          <w:vertAlign w:val="superscript"/>
        </w:rPr>
      </w:pPr>
      <w:r>
        <w:rPr>
          <w:rFonts w:ascii="Arial" w:cs="Arial" w:eastAsia="Arial" w:hAnsi="Arial"/>
          <w:sz w:val="16"/>
          <w:szCs w:val="16"/>
          <w:color w:val="auto"/>
        </w:rPr>
        <w:t>Other Allowances represented reserves on notes received in connection with transfers of our interests in certain Affiliates, as well as other receivable amounts, which we considered uncollectible. Deductions represent the reversal of such reserves upon collection of the amounts due.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As required by Rule 13a-15 of the Securities and Exchange Act of 1934, as amended (the “Exchange Act”), as of December 31, 2018,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as of the end of the period covered by this report, that our disclosure controls and procedures are effective to ensure that</w:t>
      </w:r>
    </w:p>
    <w:p>
      <w:pPr>
        <w:spacing w:after="0" w:line="2" w:lineRule="exact"/>
        <w:rPr>
          <w:sz w:val="20"/>
          <w:szCs w:val="20"/>
          <w:color w:val="auto"/>
        </w:rPr>
      </w:pPr>
    </w:p>
    <w:p>
      <w:pPr>
        <w:ind w:firstLine="8"/>
        <w:spacing w:after="0" w:line="286" w:lineRule="auto"/>
        <w:tabs>
          <w:tab w:leader="none" w:pos="2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and our management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are designed to provide reasonable assurance of achieving their stated objectives and our principal executive officer and principal financial officers concluded that our disclosure controls and procedures are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Item 8 for “Management’s Report on Internal Control over Financial Reporting.”</w:t>
      </w:r>
    </w:p>
    <w:p>
      <w:pPr>
        <w:spacing w:after="0" w:line="22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independent registered public accounting firm, PricewaterhouseCoopers LLP, has issued an attestation report on our internal control over financial reporting, which is included in Item 8.</w:t>
      </w:r>
    </w:p>
    <w:p>
      <w:pPr>
        <w:spacing w:after="0" w:line="22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2018 that has materially affected, or is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required by this Item will be set forth in our proxy statement for our 2019 Annual Meeting of Stockholders (to be filed within 120 days after December 31, 2018) (the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125"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60" w:type="dxa"/>
            <w:vAlign w:val="bottom"/>
          </w:tcPr>
          <w:p>
            <w:pPr>
              <w:jc w:val="right"/>
              <w:spacing w:after="0"/>
              <w:rPr>
                <w:sz w:val="20"/>
                <w:szCs w:val="20"/>
                <w:color w:val="auto"/>
              </w:rPr>
            </w:pPr>
            <w:r>
              <w:rPr>
                <w:rFonts w:ascii="Arial" w:cs="Arial" w:eastAsia="Arial" w:hAnsi="Arial"/>
                <w:sz w:val="18"/>
                <w:szCs w:val="18"/>
                <w:color w:val="auto"/>
                <w:w w:val="96"/>
              </w:rPr>
              <w:t>(a)  (1)</w:t>
            </w:r>
          </w:p>
        </w:tc>
        <w:tc>
          <w:tcPr>
            <w:tcW w:w="9540" w:type="dxa"/>
            <w:vAlign w:val="bottom"/>
          </w:tcPr>
          <w:p>
            <w:pPr>
              <w:ind w:left="20"/>
              <w:spacing w:after="0"/>
              <w:rPr>
                <w:sz w:val="20"/>
                <w:szCs w:val="20"/>
                <w:color w:val="auto"/>
              </w:rPr>
            </w:pPr>
            <w:r>
              <w:rPr>
                <w:rFonts w:ascii="Arial" w:cs="Arial" w:eastAsia="Arial" w:hAnsi="Arial"/>
                <w:sz w:val="18"/>
                <w:szCs w:val="18"/>
                <w:color w:val="auto"/>
              </w:rPr>
              <w:t>Financial Statements: See Item 8 of this Annual Report on Form 10-K.</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9540" w:type="dxa"/>
            <w:vAlign w:val="bottom"/>
          </w:tcPr>
          <w:p>
            <w:pPr>
              <w:ind w:left="20"/>
              <w:spacing w:after="0"/>
              <w:rPr>
                <w:sz w:val="20"/>
                <w:szCs w:val="20"/>
                <w:color w:val="auto"/>
              </w:rPr>
            </w:pPr>
            <w:r>
              <w:rPr>
                <w:rFonts w:ascii="Arial" w:cs="Arial" w:eastAsia="Arial" w:hAnsi="Arial"/>
                <w:sz w:val="18"/>
                <w:szCs w:val="18"/>
                <w:color w:val="auto"/>
              </w:rPr>
              <w:t>Financial Statement Schedule required by Part II, Item 8 is included in Item 8:</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56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Arial" w:cs="Arial" w:eastAsia="Arial" w:hAnsi="Arial"/>
                <w:sz w:val="18"/>
                <w:szCs w:val="18"/>
                <w:color w:val="auto"/>
              </w:rPr>
              <w:t>Page No.</w:t>
            </w:r>
          </w:p>
        </w:tc>
      </w:tr>
      <w:tr>
        <w:trPr>
          <w:trHeight w:val="27"/>
        </w:trPr>
        <w:tc>
          <w:tcPr>
            <w:tcW w:w="10100" w:type="dxa"/>
            <w:vAlign w:val="bottom"/>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010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Schedule II - Valuation and Qualifying Accounts for the years ended December 31, 2018, 2017 and 2016</w:t>
            </w:r>
          </w:p>
        </w:tc>
        <w:tc>
          <w:tcPr>
            <w:tcW w:w="840" w:type="dxa"/>
            <w:vAlign w:val="bottom"/>
            <w:gridSpan w:val="2"/>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c>
          <w:tcPr>
            <w:tcW w:w="40" w:type="dxa"/>
            <w:vAlign w:val="bottom"/>
          </w:tcPr>
          <w:p>
            <w:pPr>
              <w:spacing w:after="0"/>
              <w:rPr>
                <w:sz w:val="17"/>
                <w:szCs w:val="17"/>
                <w:color w:val="auto"/>
              </w:rPr>
            </w:pPr>
          </w:p>
        </w:tc>
      </w:tr>
      <w:tr>
        <w:trPr>
          <w:trHeight w:val="480"/>
        </w:trPr>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9540" w:type="dxa"/>
            <w:vAlign w:val="bottom"/>
          </w:tcPr>
          <w:p>
            <w:pPr>
              <w:ind w:left="20"/>
              <w:spacing w:after="0"/>
              <w:rPr>
                <w:sz w:val="20"/>
                <w:szCs w:val="20"/>
                <w:color w:val="auto"/>
              </w:rPr>
            </w:pPr>
            <w:r>
              <w:rPr>
                <w:rFonts w:ascii="Arial" w:cs="Arial" w:eastAsia="Arial" w:hAnsi="Arial"/>
                <w:sz w:val="18"/>
                <w:szCs w:val="18"/>
                <w:color w:val="auto"/>
              </w:rPr>
              <w:t>Exhibits: See the Exhibit Index below and incorporated by reference herein.</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125" w:right="4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310"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20">
        <w:r>
          <w:rPr>
            <w:rFonts w:ascii="Arial" w:cs="Arial" w:eastAsia="Arial" w:hAnsi="Arial"/>
            <w:sz w:val="16"/>
            <w:szCs w:val="16"/>
            <w:u w:val="single" w:color="auto"/>
            <w:color w:val="0000FF"/>
          </w:rPr>
          <w:t>Amended and Restated Certificate of Incorporation (incorporated by reference to the Company’s Registration Statement on Form S-1/A (No.</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333-34679), filed October 29, 1997)</w:t>
        </w:r>
      </w:hyperlink>
    </w:p>
    <w:p>
      <w:pPr>
        <w:spacing w:after="0" w:line="49" w:lineRule="exact"/>
        <w:rPr>
          <w:sz w:val="20"/>
          <w:szCs w:val="20"/>
          <w:color w:val="auto"/>
        </w:rPr>
      </w:pPr>
    </w:p>
    <w:p>
      <w:pPr>
        <w:ind w:left="980" w:right="40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21">
        <w:r>
          <w:rPr>
            <w:rFonts w:ascii="Arial" w:cs="Arial" w:eastAsia="Arial" w:hAnsi="Arial"/>
            <w:sz w:val="18"/>
            <w:szCs w:val="18"/>
            <w:u w:val="single" w:color="auto"/>
            <w:color w:val="0000FF"/>
          </w:rPr>
          <w:t>Amendment to Amended and Restated Certificate of Incorporation (incorporated by reference to the Company’s Registration Statement on</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FF"/>
          </w:rPr>
          <w:t>Form S-8 (No. 333-129748), filed November 16, 2005)</w:t>
        </w:r>
      </w:hyperlink>
    </w:p>
    <w:p>
      <w:pPr>
        <w:spacing w:after="0" w:line="8"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22">
        <w:r>
          <w:rPr>
            <w:rFonts w:ascii="Arial" w:cs="Arial" w:eastAsia="Arial" w:hAnsi="Arial"/>
            <w:sz w:val="16"/>
            <w:szCs w:val="16"/>
            <w:u w:val="single" w:color="auto"/>
            <w:color w:val="0000FF"/>
          </w:rPr>
          <w:t>Amendment to Amended and Restated Certificate of Incorporation (incorporated by reference to the Company’s Proxy Statement on Schedule</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14A (No. 001-13459), filed April 28, 2006)</w:t>
        </w:r>
      </w:hyperlink>
    </w:p>
    <w:p>
      <w:pPr>
        <w:spacing w:after="0" w:line="49" w:lineRule="exact"/>
        <w:rPr>
          <w:sz w:val="20"/>
          <w:szCs w:val="20"/>
          <w:color w:val="auto"/>
        </w:rPr>
      </w:pPr>
    </w:p>
    <w:p>
      <w:pPr>
        <w:ind w:left="980" w:right="10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w:t>
      </w:r>
      <w:hyperlink r:id="rId23">
        <w:r>
          <w:rPr>
            <w:rFonts w:ascii="Arial" w:cs="Arial" w:eastAsia="Arial" w:hAnsi="Arial"/>
            <w:sz w:val="18"/>
            <w:szCs w:val="18"/>
            <w:u w:val="single" w:color="auto"/>
            <w:color w:val="0000FF"/>
          </w:rPr>
          <w:t>Amendment to Amended and Restated Certificate of Incorporation (incorporated by reference to the Company’s Quarterly Report on Form 10-</w:t>
        </w:r>
      </w:hyperlink>
      <w:hyperlink r:id="rId23">
        <w:r>
          <w:rPr>
            <w:rFonts w:ascii="Arial" w:cs="Arial" w:eastAsia="Arial" w:hAnsi="Arial"/>
            <w:sz w:val="18"/>
            <w:szCs w:val="18"/>
            <w:u w:val="single" w:color="auto"/>
            <w:color w:val="0000FF"/>
          </w:rPr>
          <w:t>Q (No. 001-13459), filed August 3, 2017)</w:t>
        </w:r>
      </w:hyperlink>
    </w:p>
    <w:p>
      <w:pPr>
        <w:spacing w:after="0" w:line="8"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3.5  </w:t>
      </w:r>
      <w:hyperlink r:id="rId24">
        <w:r>
          <w:rPr>
            <w:rFonts w:ascii="Arial" w:cs="Arial" w:eastAsia="Arial" w:hAnsi="Arial"/>
            <w:sz w:val="16"/>
            <w:szCs w:val="16"/>
            <w:u w:val="single" w:color="auto"/>
            <w:color w:val="0000FF"/>
          </w:rPr>
          <w:t>Amended and Restated By-laws (incorporated by reference to the Company’s Quarterly Report on Form 10-Q (No. 001-13459), filed November</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7, 2016)</w:t>
        </w:r>
      </w:hyperlink>
    </w:p>
    <w:p>
      <w:pPr>
        <w:spacing w:after="0" w:line="49" w:lineRule="exact"/>
        <w:rPr>
          <w:sz w:val="20"/>
          <w:szCs w:val="20"/>
          <w:color w:val="auto"/>
        </w:rPr>
      </w:pPr>
    </w:p>
    <w:p>
      <w:pPr>
        <w:ind w:left="980" w:right="180" w:hanging="3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25">
        <w:r>
          <w:rPr>
            <w:rFonts w:ascii="Arial" w:cs="Arial" w:eastAsia="Arial" w:hAnsi="Arial"/>
            <w:sz w:val="18"/>
            <w:szCs w:val="18"/>
            <w:u w:val="single" w:color="auto"/>
            <w:color w:val="0000FF"/>
          </w:rPr>
          <w:t>Specimen certificate for shares of common stock of the Registrant (incorporated by reference to the Company’s Annual Report on Form 10-K</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FF"/>
          </w:rPr>
          <w:t>(No. 001-13459), filed February 23, 2018)</w:t>
        </w:r>
      </w:hyperlink>
    </w:p>
    <w:p>
      <w:pPr>
        <w:spacing w:after="0" w:line="8" w:lineRule="exact"/>
        <w:rPr>
          <w:sz w:val="20"/>
          <w:szCs w:val="20"/>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 xml:space="preserve">4.2  </w:t>
      </w:r>
      <w:hyperlink r:id="rId26">
        <w:r>
          <w:rPr>
            <w:rFonts w:ascii="Arial" w:cs="Arial" w:eastAsia="Arial" w:hAnsi="Arial"/>
            <w:sz w:val="17"/>
            <w:szCs w:val="17"/>
            <w:u w:val="single" w:color="auto"/>
            <w:color w:val="0000FF"/>
          </w:rPr>
          <w:t>Amended and Restated Declaration of Trust of AMG Capital Trust II, dated as of October 17, 2007, by and among Affiliated Managers</w:t>
        </w:r>
      </w:hyperlink>
    </w:p>
    <w:p>
      <w:pPr>
        <w:spacing w:after="0" w:line="35" w:lineRule="exact"/>
        <w:rPr>
          <w:sz w:val="20"/>
          <w:szCs w:val="20"/>
          <w:color w:val="auto"/>
        </w:rPr>
      </w:pPr>
    </w:p>
    <w:p>
      <w:pPr>
        <w:ind w:left="980"/>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Group, Inc., U.S. Bank National Association, successor in interest to Bank of America National Trust Delaware, successor by merger to LaSalle</w:t>
        </w:r>
      </w:hyperlink>
    </w:p>
    <w:p>
      <w:pPr>
        <w:spacing w:after="0" w:line="32" w:lineRule="exact"/>
        <w:rPr>
          <w:sz w:val="20"/>
          <w:szCs w:val="20"/>
          <w:color w:val="auto"/>
        </w:rPr>
      </w:pPr>
    </w:p>
    <w:p>
      <w:pPr>
        <w:ind w:left="980"/>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National Trust Delaware, as Delaware Trustee, U.S. Bank National Association, successor in interest to Bank of America, N.A., successor by</w:t>
        </w:r>
      </w:hyperlink>
    </w:p>
    <w:p>
      <w:pPr>
        <w:spacing w:after="0" w:line="32" w:lineRule="exact"/>
        <w:rPr>
          <w:sz w:val="20"/>
          <w:szCs w:val="20"/>
          <w:color w:val="auto"/>
        </w:rPr>
      </w:pPr>
    </w:p>
    <w:p>
      <w:pPr>
        <w:ind w:left="980"/>
        <w:spacing w:after="0"/>
        <w:rPr>
          <w:rFonts w:ascii="Arial" w:cs="Arial" w:eastAsia="Arial" w:hAnsi="Arial"/>
          <w:sz w:val="17"/>
          <w:szCs w:val="17"/>
          <w:u w:val="single" w:color="auto"/>
          <w:color w:val="0000FF"/>
        </w:rPr>
      </w:pPr>
      <w:hyperlink r:id="rId26">
        <w:r>
          <w:rPr>
            <w:rFonts w:ascii="Arial" w:cs="Arial" w:eastAsia="Arial" w:hAnsi="Arial"/>
            <w:sz w:val="17"/>
            <w:szCs w:val="17"/>
            <w:u w:val="single" w:color="auto"/>
            <w:color w:val="0000FF"/>
          </w:rPr>
          <w:t>merger to LaSalle Bank National Association, as Property Trustee and Institutional Administrator, and the holders from time to time of</w:t>
        </w:r>
      </w:hyperlink>
    </w:p>
    <w:p>
      <w:pPr>
        <w:spacing w:after="0" w:line="21" w:lineRule="exact"/>
        <w:rPr>
          <w:sz w:val="20"/>
          <w:szCs w:val="20"/>
          <w:color w:val="auto"/>
        </w:rPr>
      </w:pPr>
    </w:p>
    <w:p>
      <w:pPr>
        <w:ind w:left="980"/>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undivided beneficial interests in the assets of AMG Capital Trust II (incorporated by reference to the Company’s Current Report on Form 8-K</w:t>
        </w:r>
      </w:hyperlink>
    </w:p>
    <w:p>
      <w:pPr>
        <w:spacing w:after="0" w:line="32" w:lineRule="exact"/>
        <w:rPr>
          <w:sz w:val="20"/>
          <w:szCs w:val="20"/>
          <w:color w:val="auto"/>
        </w:rPr>
      </w:pPr>
    </w:p>
    <w:p>
      <w:pPr>
        <w:ind w:left="980"/>
        <w:spacing w:after="0"/>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(No. 001-13459), filed October 18, 2007)</w:t>
        </w:r>
      </w:hyperlink>
    </w:p>
    <w:p>
      <w:pPr>
        <w:spacing w:after="0" w:line="49" w:lineRule="exact"/>
        <w:rPr>
          <w:sz w:val="20"/>
          <w:szCs w:val="20"/>
          <w:color w:val="auto"/>
        </w:rPr>
      </w:pPr>
    </w:p>
    <w:p>
      <w:pPr>
        <w:ind w:left="980" w:right="8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27">
        <w:r>
          <w:rPr>
            <w:rFonts w:ascii="Arial" w:cs="Arial" w:eastAsia="Arial" w:hAnsi="Arial"/>
            <w:sz w:val="18"/>
            <w:szCs w:val="18"/>
            <w:u w:val="single" w:color="auto"/>
            <w:color w:val="0000FF"/>
          </w:rPr>
          <w:t>Indenture, dated as of October 17, 2007, by and between Affiliated Managers Group, Inc. and U.S. Bank National Association, successor in</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interest to Bank of America, N.A., successor by merger to LaSalle Bank National Association, as Debenture Trustee (incorporated by reference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to the Company’s Current Report on Form 8-K (No. 001-13459), filed October 18, 2007)</w:t>
        </w:r>
      </w:hyperlink>
    </w:p>
    <w:p>
      <w:pPr>
        <w:spacing w:after="0" w:line="19" w:lineRule="exact"/>
        <w:rPr>
          <w:rFonts w:ascii="Arial" w:cs="Arial" w:eastAsia="Arial" w:hAnsi="Arial"/>
          <w:sz w:val="18"/>
          <w:szCs w:val="18"/>
          <w:color w:val="auto"/>
        </w:rPr>
      </w:pPr>
    </w:p>
    <w:p>
      <w:pPr>
        <w:ind w:left="980" w:right="80" w:hanging="35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28">
        <w:r>
          <w:rPr>
            <w:rFonts w:ascii="Arial" w:cs="Arial" w:eastAsia="Arial" w:hAnsi="Arial"/>
            <w:sz w:val="18"/>
            <w:szCs w:val="18"/>
            <w:u w:val="single" w:color="auto"/>
            <w:color w:val="0000FF"/>
          </w:rPr>
          <w:t>First Supplemental Indenture, dated as of January 10, 2014, by and between Affiliated Managers Group, Inc. and U.S. Bank National</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Association, successor in interest to Bank of America, N.A., successor by merger to LaSalle Bank National Association, as Debenture Trustee</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(incorporated by reference to the Company’s Annual Report on Form 10-K for the fiscal year ended December 31, 2013 (No. 001-13459), filed</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February 27, 2014)</w:t>
        </w:r>
      </w:hyperlink>
    </w:p>
    <w:p>
      <w:pPr>
        <w:spacing w:after="0" w:line="25" w:lineRule="exact"/>
        <w:rPr>
          <w:rFonts w:ascii="Arial" w:cs="Arial" w:eastAsia="Arial" w:hAnsi="Arial"/>
          <w:sz w:val="18"/>
          <w:szCs w:val="18"/>
          <w:u w:val="single" w:color="auto"/>
          <w:color w:val="0000FF"/>
        </w:rPr>
      </w:pPr>
    </w:p>
    <w:p>
      <w:pPr>
        <w:ind w:left="980" w:right="100" w:hanging="359"/>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4.5 </w:t>
      </w:r>
      <w:hyperlink r:id="rId29">
        <w:r>
          <w:rPr>
            <w:rFonts w:ascii="Arial" w:cs="Arial" w:eastAsia="Arial" w:hAnsi="Arial"/>
            <w:sz w:val="17"/>
            <w:szCs w:val="17"/>
            <w:u w:val="single" w:color="auto"/>
            <w:color w:val="0000FF"/>
          </w:rPr>
          <w:t>Guarantee Agreement, dated as of October 17, 2007, by and between Affiliated Managers Group, Inc. and U.S. Bank National Association,</w:t>
        </w:r>
      </w:hyperlink>
      <w:r>
        <w:rPr>
          <w:rFonts w:ascii="Arial" w:cs="Arial" w:eastAsia="Arial" w:hAnsi="Arial"/>
          <w:sz w:val="17"/>
          <w:szCs w:val="17"/>
          <w:color w:val="auto"/>
        </w:rPr>
        <w:t xml:space="preserve"> </w:t>
      </w:r>
      <w:hyperlink r:id="rId29">
        <w:r>
          <w:rPr>
            <w:rFonts w:ascii="Arial" w:cs="Arial" w:eastAsia="Arial" w:hAnsi="Arial"/>
            <w:sz w:val="17"/>
            <w:szCs w:val="17"/>
            <w:u w:val="single" w:color="auto"/>
            <w:color w:val="0000FF"/>
          </w:rPr>
          <w:t>successor in interest to Bank of America, N.A., successor by merger to LaSalle Bank National Association, as Guarantee Trustee (incorporated</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by reference to the Company’s Current Report on Form 8-K (No. 001-13459), filed October 18, 2007)</w:t>
        </w:r>
      </w:hyperlink>
    </w:p>
    <w:p>
      <w:pPr>
        <w:spacing w:after="0" w:line="3" w:lineRule="exact"/>
        <w:rPr>
          <w:rFonts w:ascii="Arial" w:cs="Arial" w:eastAsia="Arial" w:hAnsi="Arial"/>
          <w:sz w:val="17"/>
          <w:szCs w:val="17"/>
          <w:color w:val="auto"/>
        </w:rPr>
      </w:pPr>
    </w:p>
    <w:p>
      <w:pPr>
        <w:ind w:left="980" w:right="420" w:hanging="35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30">
        <w:r>
          <w:rPr>
            <w:rFonts w:ascii="Arial" w:cs="Arial" w:eastAsia="Arial" w:hAnsi="Arial"/>
            <w:sz w:val="17"/>
            <w:szCs w:val="17"/>
            <w:u w:val="single" w:color="auto"/>
            <w:color w:val="0000FF"/>
          </w:rPr>
          <w:t>Indenture, dated as of February 11, 2014, by and between Affiliated Managers Group, Inc. and U.S. Bank National Association, as Trustee</w:t>
        </w:r>
      </w:hyperlink>
      <w:r>
        <w:rPr>
          <w:rFonts w:ascii="Arial" w:cs="Arial" w:eastAsia="Arial" w:hAnsi="Arial"/>
          <w:sz w:val="17"/>
          <w:szCs w:val="17"/>
          <w:color w:val="auto"/>
        </w:rPr>
        <w:t xml:space="preserve"> </w:t>
      </w:r>
      <w:hyperlink r:id="rId30">
        <w:r>
          <w:rPr>
            <w:rFonts w:ascii="Arial" w:cs="Arial" w:eastAsia="Arial" w:hAnsi="Arial"/>
            <w:sz w:val="17"/>
            <w:szCs w:val="17"/>
            <w:u w:val="single" w:color="auto"/>
            <w:color w:val="0000FF"/>
          </w:rPr>
          <w:t>(incorporated by reference to the Company’s Current Report on Form 8-K (No. 001-13459), filed February 11, 2014)</w:t>
        </w:r>
      </w:hyperlink>
    </w:p>
    <w:p>
      <w:pPr>
        <w:spacing w:after="0" w:line="1" w:lineRule="exact"/>
        <w:rPr>
          <w:sz w:val="20"/>
          <w:szCs w:val="20"/>
          <w:color w:val="auto"/>
        </w:rPr>
      </w:pPr>
    </w:p>
    <w:p>
      <w:pPr>
        <w:ind w:left="980" w:right="220" w:hanging="359"/>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31">
        <w:r>
          <w:rPr>
            <w:rFonts w:ascii="Arial" w:cs="Arial" w:eastAsia="Arial" w:hAnsi="Arial"/>
            <w:sz w:val="18"/>
            <w:szCs w:val="18"/>
            <w:u w:val="single" w:color="auto"/>
            <w:color w:val="0000FF"/>
          </w:rPr>
          <w:t>Supplemental Indenture related to the 4.250% Senior Notes due 2024, dated as of February 11, 2014, by and between Affiliated Managers</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Group, Inc. and U.S. Bank National Association, as Trustee, including the form of Global Note attached as Annex A thereto (incorporated by</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reference to the Company’s Current Report on Form 8-K (No. 001-13459), filed February 11, 2014)</w:t>
        </w:r>
      </w:hyperlink>
    </w:p>
    <w:p>
      <w:pPr>
        <w:spacing w:after="0" w:line="19" w:lineRule="exact"/>
        <w:rPr>
          <w:rFonts w:ascii="Arial" w:cs="Arial" w:eastAsia="Arial" w:hAnsi="Arial"/>
          <w:sz w:val="18"/>
          <w:szCs w:val="18"/>
          <w:color w:val="auto"/>
        </w:rPr>
      </w:pPr>
    </w:p>
    <w:p>
      <w:pPr>
        <w:jc w:val="both"/>
        <w:ind w:left="980" w:right="620" w:hanging="359"/>
        <w:spacing w:after="0" w:line="30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32">
        <w:r>
          <w:rPr>
            <w:rFonts w:ascii="Arial" w:cs="Arial" w:eastAsia="Arial" w:hAnsi="Arial"/>
            <w:sz w:val="16"/>
            <w:szCs w:val="16"/>
            <w:u w:val="single" w:color="auto"/>
            <w:color w:val="0000FF"/>
          </w:rPr>
          <w:t>Second Supplemental Indenture related to the 3.500% Senior Notes due 2025, dated as of February 13, 2015, by and between Affiliated</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FF"/>
          </w:rPr>
          <w:t>Managers Group, Inc. and U.S. Bank National Association, as Trustee, including the form of Global Note attached as Annex A thereto</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(incorporated by reference to the Company’s Current Report on Form 8-K (No. 001-13459), filed February 13, 2015)</w:t>
        </w:r>
      </w:hyperlink>
    </w:p>
    <w:p>
      <w:pPr>
        <w:spacing w:after="0" w:line="1" w:lineRule="exact"/>
        <w:rPr>
          <w:rFonts w:ascii="Arial" w:cs="Arial" w:eastAsia="Arial" w:hAnsi="Arial"/>
          <w:sz w:val="16"/>
          <w:szCs w:val="16"/>
          <w:color w:val="auto"/>
        </w:rPr>
      </w:pPr>
    </w:p>
    <w:p>
      <w:pPr>
        <w:ind w:left="980" w:right="1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33">
        <w:r>
          <w:rPr>
            <w:rFonts w:ascii="Arial" w:cs="Arial" w:eastAsia="Arial" w:hAnsi="Arial"/>
            <w:sz w:val="18"/>
            <w:szCs w:val="18"/>
            <w:u w:val="single" w:color="auto"/>
            <w:color w:val="0000FF"/>
          </w:rPr>
          <w:t>Affiliated Managers Group, Inc. Defined Contribution Plan (incorporated by reference to the Company’s Annual Report on Form 10-K for the</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FF"/>
          </w:rPr>
          <w:t>fiscal year ended December 31, 1999 (No. 001-13459), filed March 30, 2000)</w:t>
        </w:r>
      </w:hyperlink>
    </w:p>
    <w:p>
      <w:pPr>
        <w:spacing w:after="0" w:line="8" w:lineRule="exact"/>
        <w:rPr>
          <w:sz w:val="20"/>
          <w:szCs w:val="20"/>
          <w:color w:val="auto"/>
        </w:rPr>
      </w:pPr>
    </w:p>
    <w:p>
      <w:pPr>
        <w:ind w:left="980" w:right="44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34">
        <w:r>
          <w:rPr>
            <w:rFonts w:ascii="Arial" w:cs="Arial" w:eastAsia="Arial" w:hAnsi="Arial"/>
            <w:sz w:val="18"/>
            <w:szCs w:val="18"/>
            <w:u w:val="single" w:color="auto"/>
            <w:color w:val="0000FF"/>
          </w:rPr>
          <w:t>Affiliated Managers Group, Inc. Executive Incentive Plan (incorporated by reference to the Company’s Proxy Statement on Schedule 14A</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FF"/>
          </w:rPr>
          <w:t>(No. 001-13459), filed April 29, 2015)</w:t>
        </w:r>
      </w:hyperlink>
    </w:p>
    <w:p>
      <w:pPr>
        <w:spacing w:after="0" w:line="8" w:lineRule="exact"/>
        <w:rPr>
          <w:sz w:val="20"/>
          <w:szCs w:val="20"/>
          <w:color w:val="auto"/>
        </w:rPr>
      </w:pPr>
    </w:p>
    <w:p>
      <w:pPr>
        <w:ind w:left="980" w:right="3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35">
        <w:r>
          <w:rPr>
            <w:rFonts w:ascii="Arial" w:cs="Arial" w:eastAsia="Arial" w:hAnsi="Arial"/>
            <w:sz w:val="18"/>
            <w:szCs w:val="18"/>
            <w:u w:val="single" w:color="auto"/>
            <w:color w:val="0000FF"/>
          </w:rPr>
          <w:t>Affiliated Managers Group, Inc. Amended and Restated 1997 Stock Option and Incentive Plan (incorporated by reference to the Company’s</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Quarterly Report on Form 10-Q (No. 001-13459), filed May 10, 2004)</w:t>
        </w:r>
      </w:hyperlink>
    </w:p>
    <w:p>
      <w:pPr>
        <w:spacing w:after="0" w:line="8" w:lineRule="exact"/>
        <w:rPr>
          <w:sz w:val="20"/>
          <w:szCs w:val="20"/>
          <w:color w:val="auto"/>
        </w:rPr>
      </w:pPr>
    </w:p>
    <w:p>
      <w:pPr>
        <w:ind w:left="980" w:right="3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36">
        <w:r>
          <w:rPr>
            <w:rFonts w:ascii="Arial" w:cs="Arial" w:eastAsia="Arial" w:hAnsi="Arial"/>
            <w:sz w:val="18"/>
            <w:szCs w:val="18"/>
            <w:u w:val="single" w:color="auto"/>
            <w:color w:val="0000FF"/>
          </w:rPr>
          <w:t>Affiliated Managers Group, Inc. Amended and Restated 2002 Stock Option and Incentive Plan (incorporated by reference to the Company’s</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FF"/>
          </w:rPr>
          <w:t>Quarterly Report on Form 10-Q (No. 001-13459), filed May 10, 2004)</w:t>
        </w:r>
      </w:hyperlink>
    </w:p>
    <w:p>
      <w:pPr>
        <w:spacing w:after="0" w:line="8" w:lineRule="exact"/>
        <w:rPr>
          <w:sz w:val="20"/>
          <w:szCs w:val="20"/>
          <w:color w:val="auto"/>
        </w:rPr>
      </w:pPr>
    </w:p>
    <w:p>
      <w:pPr>
        <w:ind w:left="980" w:right="5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37">
        <w:r>
          <w:rPr>
            <w:rFonts w:ascii="Arial" w:cs="Arial" w:eastAsia="Arial" w:hAnsi="Arial"/>
            <w:sz w:val="18"/>
            <w:szCs w:val="18"/>
            <w:u w:val="single" w:color="auto"/>
            <w:color w:val="0000FF"/>
          </w:rPr>
          <w:t>Affiliated Managers Group, Inc. 2006 Stock Option and Incentive Plan (incorporated by reference to the Company’s Proxy Statement on</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FF"/>
          </w:rPr>
          <w:t>Schedule 14A (No. 001-13459), filed April 28, 2006)</w:t>
        </w:r>
      </w:hyperlink>
    </w:p>
    <w:p>
      <w:pPr>
        <w:spacing w:after="0" w:line="8" w:lineRule="exact"/>
        <w:rPr>
          <w:sz w:val="20"/>
          <w:szCs w:val="20"/>
          <w:color w:val="auto"/>
        </w:rPr>
      </w:pPr>
    </w:p>
    <w:p>
      <w:pPr>
        <w:ind w:left="980" w:right="260" w:hanging="539"/>
        <w:spacing w:after="0" w:line="29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10.6† </w:t>
      </w:r>
      <w:hyperlink r:id="rId38">
        <w:r>
          <w:rPr>
            <w:rFonts w:ascii="Arial" w:cs="Arial" w:eastAsia="Arial" w:hAnsi="Arial"/>
            <w:sz w:val="17"/>
            <w:szCs w:val="17"/>
            <w:u w:val="single" w:color="auto"/>
            <w:color w:val="0000FF"/>
          </w:rPr>
          <w:t>Affiliated Managers Group, Inc. Amended and Restated Long-Term Stock and Investment Plan (incorporated by reference to the Company’s</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FF"/>
          </w:rPr>
          <w:t>Annual Report on Form 10-K for the fiscal year ended December 31, 2013 (No. 001-13459), filed February 27, 2014)</w:t>
        </w:r>
      </w:hyperlink>
    </w:p>
    <w:p>
      <w:pPr>
        <w:spacing w:after="0" w:line="1" w:lineRule="exact"/>
        <w:rPr>
          <w:sz w:val="20"/>
          <w:szCs w:val="20"/>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 xml:space="preserve">10.7†  </w:t>
      </w:r>
      <w:hyperlink r:id="rId39">
        <w:r>
          <w:rPr>
            <w:rFonts w:ascii="Arial" w:cs="Arial" w:eastAsia="Arial" w:hAnsi="Arial"/>
            <w:sz w:val="16"/>
            <w:szCs w:val="16"/>
            <w:u w:val="single" w:color="auto"/>
            <w:color w:val="0000FF"/>
          </w:rPr>
          <w:t>Affiliated Managers Group, Inc. Executive Retention Plan (incorporated by reference to the Company’s Quarterly Report on Form 10-Q (No.</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001-13459), filed November 9, 2005)</w:t>
        </w:r>
      </w:hyperlink>
    </w:p>
    <w:p>
      <w:pPr>
        <w:sectPr>
          <w:pgSz w:w="11900" w:h="16838" w:orient="portrait"/>
          <w:cols w:equalWidth="0" w:num="1">
            <w:col w:w="11380"/>
          </w:cols>
          <w:pgMar w:left="240" w:top="125" w:right="279" w:bottom="1440" w:gutter="0" w:footer="0" w:header="0"/>
        </w:sect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40" w:top="125" w:right="27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right="200" w:hanging="539"/>
        <w:spacing w:after="0" w:line="277" w:lineRule="auto"/>
        <w:rPr>
          <w:rFonts w:ascii="Arial" w:cs="Arial" w:eastAsia="Arial" w:hAnsi="Arial"/>
          <w:sz w:val="18"/>
          <w:szCs w:val="18"/>
          <w:color w:val="0000FF"/>
        </w:rPr>
      </w:pPr>
      <w:r>
        <w:rPr>
          <w:rFonts w:ascii="Arial" w:cs="Arial" w:eastAsia="Arial" w:hAnsi="Arial"/>
          <w:sz w:val="18"/>
          <w:szCs w:val="18"/>
          <w:color w:val="auto"/>
        </w:rPr>
        <w:t xml:space="preserve">10.8† </w:t>
      </w:r>
      <w:hyperlink r:id="rId40">
        <w:r>
          <w:rPr>
            <w:rFonts w:ascii="Arial" w:cs="Arial" w:eastAsia="Arial" w:hAnsi="Arial"/>
            <w:sz w:val="18"/>
            <w:szCs w:val="18"/>
            <w:u w:val="single" w:color="auto"/>
            <w:color w:val="0000FF"/>
          </w:rPr>
          <w:t>Affiliated Managers Group, Inc. Deferred Compensation Plan (incorporated by reference to the Company’s Annual Report on Form 10-K for</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FF"/>
          </w:rPr>
          <w:t>the fiscal year ended December 31, 2008 (No. 001-13459), filed March 2, 2009</w:t>
        </w:r>
        <w:r>
          <w:rPr>
            <w:rFonts w:ascii="Arial" w:cs="Arial" w:eastAsia="Arial" w:hAnsi="Arial"/>
            <w:sz w:val="18"/>
            <w:szCs w:val="18"/>
            <w:color w:val="000000"/>
          </w:rPr>
          <w:t>)</w:t>
        </w:r>
      </w:hyperlink>
    </w:p>
    <w:p>
      <w:pPr>
        <w:spacing w:after="0" w:line="8" w:lineRule="exact"/>
        <w:rPr>
          <w:sz w:val="20"/>
          <w:szCs w:val="20"/>
          <w:color w:val="auto"/>
        </w:rPr>
      </w:pPr>
    </w:p>
    <w:p>
      <w:pPr>
        <w:ind w:left="980" w:right="30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41">
        <w:r>
          <w:rPr>
            <w:rFonts w:ascii="Arial" w:cs="Arial" w:eastAsia="Arial" w:hAnsi="Arial"/>
            <w:sz w:val="18"/>
            <w:szCs w:val="18"/>
            <w:u w:val="single" w:color="auto"/>
            <w:color w:val="0000FF"/>
          </w:rPr>
          <w:t>Affiliated Managers Group, Inc. Long-Term Equity Interests Plan 2010, LP (incorporated by reference to the Company’s Current Report on</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FF"/>
          </w:rPr>
          <w:t>Form 8-K (No. 001-13459), filed December 17, 2010)</w:t>
        </w:r>
      </w:hyperlink>
    </w:p>
    <w:p>
      <w:pPr>
        <w:spacing w:after="0" w:line="8" w:lineRule="exact"/>
        <w:rPr>
          <w:sz w:val="20"/>
          <w:szCs w:val="20"/>
          <w:color w:val="auto"/>
        </w:rPr>
      </w:pPr>
    </w:p>
    <w:p>
      <w:pPr>
        <w:ind w:left="980" w:right="5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42">
        <w:r>
          <w:rPr>
            <w:rFonts w:ascii="Arial" w:cs="Arial" w:eastAsia="Arial" w:hAnsi="Arial"/>
            <w:sz w:val="18"/>
            <w:szCs w:val="18"/>
            <w:u w:val="single" w:color="auto"/>
            <w:color w:val="0000FF"/>
          </w:rPr>
          <w:t>Affiliated Managers Group, Inc. 2011 Stock Option and Incentive Plan (incorporated by reference to the Company’s Proxy Statement on</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Schedule 14A (No. 001-13459), filed April 19, 2011)</w:t>
        </w:r>
      </w:hyperlink>
    </w:p>
    <w:p>
      <w:pPr>
        <w:spacing w:after="0" w:line="8" w:lineRule="exact"/>
        <w:rPr>
          <w:sz w:val="20"/>
          <w:szCs w:val="20"/>
          <w:color w:val="auto"/>
        </w:rPr>
      </w:pPr>
    </w:p>
    <w:p>
      <w:pPr>
        <w:ind w:left="980" w:right="320" w:hanging="622"/>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3">
        <w:r>
          <w:rPr>
            <w:rFonts w:ascii="Arial" w:cs="Arial" w:eastAsia="Arial" w:hAnsi="Arial"/>
            <w:sz w:val="18"/>
            <w:szCs w:val="18"/>
            <w:u w:val="single" w:color="auto"/>
            <w:color w:val="0000FF"/>
          </w:rPr>
          <w:t>Affiliated Managers Group, Inc. Long-Term Equity Interests Plan 2011, LP (incorporated by reference to the Company’s Annual Report on</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FF"/>
          </w:rPr>
          <w:t>Form 10-K for the fiscal year ended December 31, 2011 (No. 001-13459), filed February 23, 2012)</w:t>
        </w:r>
      </w:hyperlink>
    </w:p>
    <w:p>
      <w:pPr>
        <w:spacing w:after="0" w:line="8" w:lineRule="exact"/>
        <w:rPr>
          <w:sz w:val="20"/>
          <w:szCs w:val="20"/>
          <w:color w:val="auto"/>
        </w:rPr>
      </w:pPr>
    </w:p>
    <w:p>
      <w:pPr>
        <w:ind w:left="9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44">
        <w:r>
          <w:rPr>
            <w:rFonts w:ascii="Arial" w:cs="Arial" w:eastAsia="Arial" w:hAnsi="Arial"/>
            <w:sz w:val="18"/>
            <w:szCs w:val="18"/>
            <w:u w:val="single" w:color="auto"/>
            <w:color w:val="0000FF"/>
          </w:rPr>
          <w:t>Affiliated Managers Group, Inc. Long-Term Equity Interests Plan, LP (incorporated by reference to the Company’s Annual Report on Form 10-</w:t>
        </w:r>
      </w:hyperlink>
      <w:hyperlink r:id="rId44">
        <w:r>
          <w:rPr>
            <w:rFonts w:ascii="Arial" w:cs="Arial" w:eastAsia="Arial" w:hAnsi="Arial"/>
            <w:sz w:val="18"/>
            <w:szCs w:val="18"/>
            <w:u w:val="single" w:color="auto"/>
            <w:color w:val="0000FF"/>
          </w:rPr>
          <w:t>K for the fiscal year ended December 31, 2012 (No. 001-13459), filed February 22, 2013)</w:t>
        </w:r>
      </w:hyperlink>
    </w:p>
    <w:p>
      <w:pPr>
        <w:spacing w:after="0" w:line="8"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45">
        <w:r>
          <w:rPr>
            <w:rFonts w:ascii="Arial" w:cs="Arial" w:eastAsia="Arial" w:hAnsi="Arial"/>
            <w:sz w:val="16"/>
            <w:szCs w:val="16"/>
            <w:u w:val="single" w:color="auto"/>
            <w:color w:val="0000FF"/>
          </w:rPr>
          <w:t>Affiliated Managers Group, Inc. 2013 Incentive Stock Award Plan (incorporated by reference to the Company’s Proxy Statement on Schedule</w:t>
        </w:r>
      </w:hyperlink>
    </w:p>
    <w:p>
      <w:pPr>
        <w:spacing w:after="0" w:line="46" w:lineRule="exact"/>
        <w:rPr>
          <w:sz w:val="20"/>
          <w:szCs w:val="20"/>
          <w:color w:val="auto"/>
        </w:rPr>
      </w:pPr>
    </w:p>
    <w:p>
      <w:pPr>
        <w:ind w:left="98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14A (No. 001-13459), filed April 30, 2013)</w:t>
        </w:r>
      </w:hyperlink>
    </w:p>
    <w:p>
      <w:pPr>
        <w:spacing w:after="0" w:line="4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10.14†  </w:t>
      </w:r>
      <w:hyperlink w:anchor="page87">
        <w:r>
          <w:rPr>
            <w:rFonts w:ascii="Arial" w:cs="Arial" w:eastAsia="Arial" w:hAnsi="Arial"/>
            <w:sz w:val="18"/>
            <w:szCs w:val="18"/>
            <w:u w:val="single" w:color="auto"/>
            <w:color w:val="0000FF"/>
          </w:rPr>
          <w:t>Form of Restricted Stock Unit Award Agreement pursuant to Affiliated Managers Group, Inc. 2013 Incentive Stock Award Plan*</w:t>
        </w:r>
      </w:hyperlink>
    </w:p>
    <w:p>
      <w:pPr>
        <w:spacing w:after="0" w:line="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10.15†  </w:t>
      </w:r>
      <w:hyperlink w:anchor="page101">
        <w:r>
          <w:rPr>
            <w:rFonts w:ascii="Arial" w:cs="Arial" w:eastAsia="Arial" w:hAnsi="Arial"/>
            <w:sz w:val="18"/>
            <w:szCs w:val="18"/>
            <w:u w:val="single" w:color="auto"/>
            <w:color w:val="0000FF"/>
          </w:rPr>
          <w:t>Form of Stock Option Agreement pursuant to Affiliated Managers Group, Inc. Stock Option and Incentive Plan*</w:t>
        </w:r>
      </w:hyperlink>
    </w:p>
    <w:p>
      <w:pPr>
        <w:spacing w:after="0" w:line="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10.16†  </w:t>
      </w:r>
      <w:hyperlink w:anchor="page118">
        <w:r>
          <w:rPr>
            <w:rFonts w:ascii="Arial" w:cs="Arial" w:eastAsia="Arial" w:hAnsi="Arial"/>
            <w:sz w:val="18"/>
            <w:szCs w:val="18"/>
            <w:u w:val="single" w:color="auto"/>
            <w:color w:val="0000FF"/>
          </w:rPr>
          <w:t>Form of Restricted Stock Unit Award Agreement pursuant to Affiliated Managers Group, Inc. 2002 Stock Option Incentive Plan*</w:t>
        </w:r>
      </w:hyperlink>
    </w:p>
    <w:p>
      <w:pPr>
        <w:spacing w:after="0" w:line="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10.17†  </w:t>
      </w:r>
      <w:hyperlink w:anchor="page134">
        <w:r>
          <w:rPr>
            <w:rFonts w:ascii="Arial" w:cs="Arial" w:eastAsia="Arial" w:hAnsi="Arial"/>
            <w:sz w:val="18"/>
            <w:szCs w:val="18"/>
            <w:u w:val="single" w:color="auto"/>
            <w:color w:val="0000FF"/>
          </w:rPr>
          <w:t>Form of Award Agreement pursuant to Affiliated Managers Group, Inc. Incentive Plan*</w:t>
        </w:r>
      </w:hyperlink>
    </w:p>
    <w:p>
      <w:pPr>
        <w:spacing w:after="0" w:line="63" w:lineRule="exact"/>
        <w:rPr>
          <w:sz w:val="20"/>
          <w:szCs w:val="20"/>
          <w:color w:val="auto"/>
        </w:rPr>
      </w:pPr>
    </w:p>
    <w:p>
      <w:pPr>
        <w:ind w:left="980" w:right="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6">
        <w:r>
          <w:rPr>
            <w:rFonts w:ascii="Arial" w:cs="Arial" w:eastAsia="Arial" w:hAnsi="Arial"/>
            <w:sz w:val="18"/>
            <w:szCs w:val="18"/>
            <w:u w:val="single" w:color="auto"/>
            <w:color w:val="0000FF"/>
          </w:rPr>
          <w:t>Form of Affiliated Managers Group, Inc. Award Agreement (incorporated by reference to the Company’s Annual Report on Form 10-K for the</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fiscal year ended December 31, 2013 (No. 001-13459), filed February 27, 2014)</w:t>
        </w:r>
      </w:hyperlink>
    </w:p>
    <w:p>
      <w:pPr>
        <w:spacing w:after="0" w:line="8" w:lineRule="exact"/>
        <w:rPr>
          <w:sz w:val="20"/>
          <w:szCs w:val="20"/>
          <w:color w:val="auto"/>
        </w:rPr>
      </w:pPr>
    </w:p>
    <w:p>
      <w:pPr>
        <w:ind w:left="980" w:right="12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47">
        <w:r>
          <w:rPr>
            <w:rFonts w:ascii="Arial" w:cs="Arial" w:eastAsia="Arial" w:hAnsi="Arial"/>
            <w:sz w:val="18"/>
            <w:szCs w:val="18"/>
            <w:u w:val="single" w:color="auto"/>
            <w:color w:val="0000FF"/>
          </w:rPr>
          <w:t>Form of Indemnification Agreement entered into by each Director and Executive Officer (incorporated by reference to the Company’s Annual</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Report on Form 10-K for the fiscal year ended December 31, 2010 (No. 001-13459), filed March 1, 2011)</w:t>
        </w:r>
      </w:hyperlink>
    </w:p>
    <w:p>
      <w:pPr>
        <w:spacing w:after="0" w:line="8" w:lineRule="exact"/>
        <w:rPr>
          <w:sz w:val="20"/>
          <w:szCs w:val="20"/>
          <w:color w:val="auto"/>
        </w:rPr>
      </w:pPr>
    </w:p>
    <w:p>
      <w:pPr>
        <w:ind w:left="980" w:right="280" w:hanging="62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48">
        <w:r>
          <w:rPr>
            <w:rFonts w:ascii="Arial" w:cs="Arial" w:eastAsia="Arial" w:hAnsi="Arial"/>
            <w:sz w:val="18"/>
            <w:szCs w:val="18"/>
            <w:u w:val="single" w:color="auto"/>
            <w:color w:val="0000FF"/>
          </w:rPr>
          <w:t>Service Agreement, dated as of December 6, 2016, by and between Affiliated Managers Group, Inc. and Hugh P. B. Cutler (incorporated by</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reference to the Company’s Annual Report on Form 10-K (No. 001-13459), filed February 23, 2018)</w:t>
        </w:r>
      </w:hyperlink>
    </w:p>
    <w:p>
      <w:pPr>
        <w:spacing w:after="0" w:line="8" w:lineRule="exact"/>
        <w:rPr>
          <w:sz w:val="20"/>
          <w:szCs w:val="20"/>
          <w:color w:val="auto"/>
        </w:rPr>
      </w:pPr>
    </w:p>
    <w:p>
      <w:pPr>
        <w:ind w:left="980" w:hanging="539"/>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49">
        <w:r>
          <w:rPr>
            <w:rFonts w:ascii="Arial" w:cs="Arial" w:eastAsia="Arial" w:hAnsi="Arial"/>
            <w:sz w:val="18"/>
            <w:szCs w:val="18"/>
            <w:u w:val="single" w:color="auto"/>
            <w:color w:val="0000FF"/>
          </w:rPr>
          <w:t>Amended and Restated Credit Agreement, dated as of January 18, 2019, by and among Affiliated Managers Group, Inc., Bank of America,</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N.A., as administrative agent, letter of credit issuer and swingline lender, and the other lending institutions from time to time party thereto, and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the exhibits and schedules thereto (incorporated by reference to the Company’s Current Report on Form 8-K (No. 001-13459), filed January 22,</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2019)</w:t>
        </w:r>
      </w:hyperlink>
    </w:p>
    <w:p>
      <w:pPr>
        <w:spacing w:after="0" w:line="25" w:lineRule="exact"/>
        <w:rPr>
          <w:rFonts w:ascii="Arial" w:cs="Arial" w:eastAsia="Arial" w:hAnsi="Arial"/>
          <w:sz w:val="18"/>
          <w:szCs w:val="18"/>
          <w:u w:val="single" w:color="auto"/>
          <w:color w:val="0000FF"/>
        </w:rPr>
      </w:pPr>
    </w:p>
    <w:p>
      <w:pPr>
        <w:ind w:left="980" w:hanging="539"/>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10.22 </w:t>
      </w:r>
      <w:hyperlink r:id="rId50">
        <w:r>
          <w:rPr>
            <w:rFonts w:ascii="Arial" w:cs="Arial" w:eastAsia="Arial" w:hAnsi="Arial"/>
            <w:sz w:val="17"/>
            <w:szCs w:val="17"/>
            <w:u w:val="single" w:color="auto"/>
            <w:color w:val="0000FF"/>
          </w:rPr>
          <w:t>Third Amended and Restated Term Credit Agreement, dated as of January 18, 2019, by and among Affiliated Managers Group, Inc., Bank of</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FF"/>
          </w:rPr>
          <w:t>America, N.A., as administrative agent, and the other lending institutions from time to time party thereto, and the exhibits and schedules thereto</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(incorporated by reference to the Company’s Current Report on Form 8-K (No. 001-13459), filed January 22, 2019)</w:t>
        </w:r>
      </w:hyperlink>
    </w:p>
    <w:p>
      <w:pPr>
        <w:spacing w:after="0" w:line="3" w:lineRule="exact"/>
        <w:rPr>
          <w:rFonts w:ascii="Arial" w:cs="Arial" w:eastAsia="Arial" w:hAnsi="Arial"/>
          <w:sz w:val="17"/>
          <w:szCs w:val="17"/>
          <w:color w:val="auto"/>
        </w:rPr>
      </w:pPr>
    </w:p>
    <w:p>
      <w:pPr>
        <w:ind w:left="98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51">
        <w:r>
          <w:rPr>
            <w:rFonts w:ascii="Arial" w:cs="Arial" w:eastAsia="Arial" w:hAnsi="Arial"/>
            <w:sz w:val="18"/>
            <w:szCs w:val="18"/>
            <w:u w:val="single" w:color="auto"/>
            <w:color w:val="0000FF"/>
          </w:rPr>
          <w:t>Form of Equity Distribution Agreement, dated as of August 16, 2016 (incorporated by reference to the Company’s Current Report on Form 8-K</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(No. 001-13459), filed August 17, 2016)</w:t>
        </w:r>
      </w:hyperlink>
    </w:p>
    <w:p>
      <w:pPr>
        <w:spacing w:after="0" w:line="8" w:lineRule="exact"/>
        <w:rPr>
          <w:sz w:val="20"/>
          <w:szCs w:val="20"/>
          <w:color w:val="auto"/>
        </w:rPr>
      </w:pPr>
    </w:p>
    <w:p>
      <w:pPr>
        <w:ind w:left="980" w:right="160" w:hanging="53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52">
        <w:r>
          <w:rPr>
            <w:rFonts w:ascii="Arial" w:cs="Arial" w:eastAsia="Arial" w:hAnsi="Arial"/>
            <w:sz w:val="18"/>
            <w:szCs w:val="18"/>
            <w:u w:val="single" w:color="auto"/>
            <w:color w:val="0000FF"/>
          </w:rPr>
          <w:t>Form of Master Confirmation Letter Agreement, dated as of August 16, 2016 (incorporated by reference to the Company’s Current Report on</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Form 8-K (No. 001-13459), filed August 17, 2016)</w:t>
        </w:r>
      </w:hyperlink>
    </w:p>
    <w:p>
      <w:pPr>
        <w:spacing w:after="0" w:line="8"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21.1  </w:t>
      </w:r>
      <w:hyperlink w:anchor="page151">
        <w:r>
          <w:rPr>
            <w:rFonts w:ascii="Arial" w:cs="Arial" w:eastAsia="Arial" w:hAnsi="Arial"/>
            <w:sz w:val="18"/>
            <w:szCs w:val="18"/>
            <w:u w:val="single" w:color="auto"/>
            <w:color w:val="0000FF"/>
          </w:rPr>
          <w:t>Schedule of Subsidiaries*</w:t>
        </w:r>
      </w:hyperlink>
    </w:p>
    <w:p>
      <w:pPr>
        <w:spacing w:after="0" w:line="63"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58">
        <w:r>
          <w:rPr>
            <w:rFonts w:ascii="Arial" w:cs="Arial" w:eastAsia="Arial" w:hAnsi="Arial"/>
            <w:sz w:val="18"/>
            <w:szCs w:val="18"/>
            <w:u w:val="single" w:color="auto"/>
            <w:color w:val="0000FF"/>
          </w:rPr>
          <w:t>Consent of PricewaterhouseCoopers LLP*</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31.1  </w:t>
      </w:r>
      <w:hyperlink w:anchor="page160">
        <w:r>
          <w:rPr>
            <w:rFonts w:ascii="Arial" w:cs="Arial" w:eastAsia="Arial" w:hAnsi="Arial"/>
            <w:sz w:val="18"/>
            <w:szCs w:val="18"/>
            <w:u w:val="single" w:color="auto"/>
            <w:color w:val="0000FF"/>
          </w:rPr>
          <w:t>Certification of Registrant’s Chief Executive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31.2  </w:t>
      </w:r>
      <w:hyperlink w:anchor="page162">
        <w:r>
          <w:rPr>
            <w:rFonts w:ascii="Arial" w:cs="Arial" w:eastAsia="Arial" w:hAnsi="Arial"/>
            <w:sz w:val="18"/>
            <w:szCs w:val="18"/>
            <w:u w:val="single" w:color="auto"/>
            <w:color w:val="0000FF"/>
          </w:rPr>
          <w:t>Certification of Registrant’s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32.1  </w:t>
      </w:r>
      <w:hyperlink w:anchor="page164">
        <w:r>
          <w:rPr>
            <w:rFonts w:ascii="Arial" w:cs="Arial" w:eastAsia="Arial" w:hAnsi="Arial"/>
            <w:sz w:val="18"/>
            <w:szCs w:val="18"/>
            <w:u w:val="single" w:color="auto"/>
            <w:color w:val="0000FF"/>
          </w:rPr>
          <w:t>Certification of Registrant’s Chief Executive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32.2  </w:t>
      </w:r>
      <w:hyperlink w:anchor="page166">
        <w:r>
          <w:rPr>
            <w:rFonts w:ascii="Arial" w:cs="Arial" w:eastAsia="Arial" w:hAnsi="Arial"/>
            <w:sz w:val="18"/>
            <w:szCs w:val="18"/>
            <w:u w:val="single" w:color="auto"/>
            <w:color w:val="0000FF"/>
          </w:rPr>
          <w:t>Certification of Registrant’s Chief Financial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63" w:lineRule="exact"/>
        <w:rPr>
          <w:sz w:val="20"/>
          <w:szCs w:val="20"/>
          <w:color w:val="auto"/>
        </w:rPr>
      </w:pPr>
    </w:p>
    <w:p>
      <w:pPr>
        <w:ind w:left="980" w:right="20" w:hanging="405"/>
        <w:spacing w:after="0" w:line="276" w:lineRule="auto"/>
        <w:tabs>
          <w:tab w:leader="none" w:pos="9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following financial statements from the Registrant’s Annual Report on Form 10-K for the fiscal year ended December 31, 2018 are filed herewith, formatted in XBRL (eXtensible Business Reporting Language): (i) the Consolidated Statements of Income for the years ended December 31, 2018, 2017, and 2016, (ii) the Consolidated Balance Sheets at December 31, 2018 and December 31, 2017, (iii) the Consolidated Statement of Equity for the years ended December 31, 2018, 2017, and 2016, (iv) the Consolidated Statements of Cash Flows for the years ended December 31, 2018, 2017, and 2016, and (v) the Notes to the Consolidated Financial Statements.</w:t>
      </w:r>
    </w:p>
    <w:p>
      <w:pPr>
        <w:spacing w:after="0" w:line="199" w:lineRule="exact"/>
        <w:rPr>
          <w:rFonts w:ascii="Arial" w:cs="Arial" w:eastAsia="Arial" w:hAnsi="Arial"/>
          <w:sz w:val="17"/>
          <w:szCs w:val="17"/>
          <w:color w:val="auto"/>
        </w:rPr>
      </w:pPr>
    </w:p>
    <w:p>
      <w:pPr>
        <w:ind w:left="140" w:hanging="132"/>
        <w:spacing w:after="0"/>
        <w:tabs>
          <w:tab w:leader="none" w:pos="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457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125"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AFFILIATED MANAGERS GROUP, INC.</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(Registrant)</w:t>
      </w:r>
    </w:p>
    <w:p>
      <w:pPr>
        <w:spacing w:after="0" w:line="49" w:lineRule="exact"/>
        <w:rPr>
          <w:sz w:val="20"/>
          <w:szCs w:val="20"/>
          <w:color w:val="auto"/>
        </w:rPr>
      </w:pPr>
    </w:p>
    <w:p>
      <w:pPr>
        <w:ind w:left="40"/>
        <w:spacing w:after="0"/>
        <w:tabs>
          <w:tab w:leader="none" w:pos="6060" w:val="left"/>
          <w:tab w:leader="none" w:pos="6620" w:val="left"/>
        </w:tabs>
        <w:rPr>
          <w:sz w:val="20"/>
          <w:szCs w:val="20"/>
          <w:color w:val="auto"/>
        </w:rPr>
      </w:pPr>
      <w:r>
        <w:rPr>
          <w:rFonts w:ascii="Arial" w:cs="Arial" w:eastAsia="Arial" w:hAnsi="Arial"/>
          <w:sz w:val="18"/>
          <w:szCs w:val="18"/>
          <w:color w:val="auto"/>
        </w:rPr>
        <w:t>Date: February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NATHANIEL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Nathaniel Dalton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Chief Executive Officer</w:t>
      </w:r>
    </w:p>
    <w:p>
      <w:pPr>
        <w:spacing w:after="0" w:line="15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9"/>
              </w:rPr>
              <w:t>Signature</w:t>
            </w:r>
          </w:p>
        </w:tc>
        <w:tc>
          <w:tcPr>
            <w:tcW w:w="1860" w:type="dxa"/>
            <w:vAlign w:val="bottom"/>
          </w:tcPr>
          <w:p>
            <w:pPr>
              <w:spacing w:after="0"/>
              <w:rPr>
                <w:sz w:val="14"/>
                <w:szCs w:val="14"/>
                <w:color w:val="auto"/>
              </w:rPr>
            </w:pPr>
          </w:p>
        </w:tc>
        <w:tc>
          <w:tcPr>
            <w:tcW w:w="260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651"/>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SEAN M. HEALEY</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Executive Chairman</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Sean M. Healey</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/s/ NATHANIEL DALTON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Chief Executive Officer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41"/>
        </w:trPr>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46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93"/>
              </w:rPr>
              <w:t>(Principal Executive Officer) and Director</w:t>
            </w: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Nathaniel Dalton</w:t>
            </w:r>
          </w:p>
        </w:tc>
        <w:tc>
          <w:tcPr>
            <w:tcW w:w="446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1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JAY C. HORGEN</w:t>
            </w:r>
          </w:p>
        </w:tc>
        <w:tc>
          <w:tcPr>
            <w:tcW w:w="446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President, Chief Financial Officer and Treasurer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109"/>
        </w:trPr>
        <w:tc>
          <w:tcPr>
            <w:tcW w:w="15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460" w:type="dxa"/>
            <w:vAlign w:val="bottom"/>
            <w:gridSpan w:val="3"/>
            <w:vMerge w:val="restart"/>
          </w:tcPr>
          <w:p>
            <w:pPr>
              <w:jc w:val="center"/>
              <w:ind w:right="480"/>
              <w:spacing w:after="0"/>
              <w:rPr>
                <w:sz w:val="20"/>
                <w:szCs w:val="20"/>
                <w:color w:val="auto"/>
              </w:rPr>
            </w:pPr>
            <w:r>
              <w:rPr>
                <w:rFonts w:ascii="Arial" w:cs="Arial" w:eastAsia="Arial" w:hAnsi="Arial"/>
                <w:sz w:val="18"/>
                <w:szCs w:val="18"/>
                <w:color w:val="auto"/>
                <w:w w:val="92"/>
              </w:rPr>
              <w:t>(Principal Financial and Principal</w:t>
            </w: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Jay C. Horgen</w:t>
            </w:r>
          </w:p>
        </w:tc>
        <w:tc>
          <w:tcPr>
            <w:tcW w:w="446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60" w:type="dxa"/>
            <w:vAlign w:val="bottom"/>
            <w:gridSpan w:val="3"/>
            <w:vMerge w:val="continue"/>
          </w:tcPr>
          <w:p>
            <w:pPr>
              <w:spacing w:after="0"/>
              <w:rPr>
                <w:sz w:val="20"/>
                <w:szCs w:val="20"/>
                <w:color w:val="auto"/>
              </w:rPr>
            </w:pPr>
          </w:p>
        </w:tc>
        <w:tc>
          <w:tcPr>
            <w:tcW w:w="44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Accounting Officer)</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SAMUEL T. BYRNE</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Samuel T. Byrne</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8"/>
              </w:rPr>
              <w:t>/s/ DWIGHT D. CHURCHILL</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Dwight D. Churchill</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GLENN EARLE</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Glenn Earle</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NIALL FERGUSON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Niall Ferguson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/s/ TRACY P. PALANDJIAN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Tracy P. Palandjian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/s/ PATRICK T. RYAN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Patrick T. Ryan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KAREN L. YERBURGH</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Karen L. Yerburgh</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/s/ JIDE J. ZEITLIN</w:t>
            </w:r>
          </w:p>
        </w:tc>
        <w:tc>
          <w:tcPr>
            <w:tcW w:w="44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Director</w:t>
            </w:r>
          </w:p>
        </w:tc>
        <w:tc>
          <w:tcPr>
            <w:tcW w:w="2060" w:type="dxa"/>
            <w:vAlign w:val="bottom"/>
            <w:gridSpan w:val="3"/>
          </w:tcPr>
          <w:p>
            <w:pPr>
              <w:jc w:val="center"/>
              <w:ind w:left="651"/>
              <w:spacing w:after="0"/>
              <w:rPr>
                <w:sz w:val="20"/>
                <w:szCs w:val="20"/>
                <w:color w:val="auto"/>
              </w:rPr>
            </w:pPr>
            <w:r>
              <w:rPr>
                <w:rFonts w:ascii="Arial" w:cs="Arial" w:eastAsia="Arial" w:hAnsi="Arial"/>
                <w:sz w:val="18"/>
                <w:szCs w:val="18"/>
                <w:color w:val="auto"/>
                <w:w w:val="89"/>
              </w:rPr>
              <w:t>February 22, 2019</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Jide J. Zeitlin</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60" w:type="dxa"/>
            <w:vAlign w:val="bottom"/>
            <w:gridSpan w:val="3"/>
          </w:tcPr>
          <w:p>
            <w:pPr>
              <w:jc w:val="right"/>
              <w:ind w:right="2320"/>
              <w:spacing w:after="0"/>
              <w:rPr>
                <w:sz w:val="20"/>
                <w:szCs w:val="20"/>
                <w:color w:val="auto"/>
              </w:rPr>
            </w:pPr>
            <w:r>
              <w:rPr>
                <w:rFonts w:ascii="Arial" w:cs="Arial" w:eastAsia="Arial" w:hAnsi="Arial"/>
                <w:sz w:val="18"/>
                <w:szCs w:val="18"/>
                <w:color w:val="auto"/>
              </w:rPr>
              <w:t>83</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INCENTIVE STOCK AWARD PLAN</w:t>
      </w:r>
    </w:p>
    <w:p>
      <w:pPr>
        <w:spacing w:after="0" w:line="202"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Pursuant to the Affiliated Managers Group, Inc. 2013 Incentive Stock Award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and subject to the terms of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Affiliated Managers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grantee named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Grantee</w:t>
      </w:r>
      <w:r>
        <w:rPr>
          <w:rFonts w:ascii="Arial" w:cs="Arial" w:eastAsia="Arial" w:hAnsi="Arial"/>
          <w:sz w:val="19"/>
          <w:szCs w:val="19"/>
          <w:color w:val="auto"/>
        </w:rPr>
        <w:t>”) an Award (the “</w:t>
      </w:r>
      <w:r>
        <w:rPr>
          <w:rFonts w:ascii="Arial" w:cs="Arial" w:eastAsia="Arial" w:hAnsi="Arial"/>
          <w:sz w:val="19"/>
          <w:szCs w:val="19"/>
          <w:u w:val="single" w:color="auto"/>
          <w:color w:val="auto"/>
        </w:rPr>
        <w:t>Award</w:t>
      </w:r>
      <w:r>
        <w:rPr>
          <w:rFonts w:ascii="Arial" w:cs="Arial" w:eastAsia="Arial" w:hAnsi="Arial"/>
          <w:sz w:val="19"/>
          <w:szCs w:val="19"/>
          <w:color w:val="auto"/>
        </w:rPr>
        <w:t>”) of restricted stock units (each a “</w:t>
      </w:r>
      <w:r>
        <w:rPr>
          <w:rFonts w:ascii="Arial" w:cs="Arial" w:eastAsia="Arial" w:hAnsi="Arial"/>
          <w:sz w:val="19"/>
          <w:szCs w:val="19"/>
          <w:u w:val="single" w:color="auto"/>
          <w:color w:val="auto"/>
        </w:rPr>
        <w:t>Unit</w:t>
      </w:r>
      <w:r>
        <w:rPr>
          <w:rFonts w:ascii="Arial" w:cs="Arial" w:eastAsia="Arial" w:hAnsi="Arial"/>
          <w:sz w:val="19"/>
          <w:szCs w:val="19"/>
          <w:color w:val="auto"/>
        </w:rPr>
        <w:t>,” and together, the “</w:t>
      </w:r>
      <w:r>
        <w:rPr>
          <w:rFonts w:ascii="Arial" w:cs="Arial" w:eastAsia="Arial" w:hAnsi="Arial"/>
          <w:sz w:val="19"/>
          <w:szCs w:val="19"/>
          <w:u w:val="single" w:color="auto"/>
          <w:color w:val="auto"/>
        </w:rPr>
        <w:t>Units</w:t>
      </w:r>
      <w:r>
        <w:rPr>
          <w:rFonts w:ascii="Arial" w:cs="Arial" w:eastAsia="Arial" w:hAnsi="Arial"/>
          <w:sz w:val="19"/>
          <w:szCs w:val="19"/>
          <w:color w:val="auto"/>
        </w:rPr>
        <w:t>”), consisting of the right to receive a distribution of the number of shares of common stock, par value $0.01 per share,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to be issued and distributed to the Grantee according to the terms set forth herein and in the Plan, and the vesting schedule and performance requirements (if any) set forth herein.</w:t>
      </w:r>
    </w:p>
    <w:p>
      <w:pPr>
        <w:spacing w:after="0" w:line="150" w:lineRule="exact"/>
        <w:rPr>
          <w:sz w:val="20"/>
          <w:szCs w:val="20"/>
          <w:color w:val="auto"/>
        </w:rPr>
      </w:pPr>
    </w:p>
    <w:p>
      <w:pPr>
        <w:ind w:left="2120" w:hanging="815"/>
        <w:spacing w:after="0"/>
        <w:tabs>
          <w:tab w:leader="none" w:pos="21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20" w:lineRule="exact"/>
        <w:rPr>
          <w:sz w:val="20"/>
          <w:szCs w:val="20"/>
          <w:color w:val="auto"/>
        </w:rPr>
      </w:pPr>
    </w:p>
    <w:p>
      <w:pPr>
        <w:ind w:right="40" w:firstLine="1305"/>
        <w:spacing w:after="0" w:line="248" w:lineRule="auto"/>
        <w:tabs>
          <w:tab w:leader="none" w:pos="218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the discretion of the Administrator to accelerate the vesting schedule, the Units shall 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1(b) shall apply. For the avoidance of doubt, the vesting of the Award may be accelerated automatically in certain circumstances described herein.</w:t>
      </w:r>
    </w:p>
    <w:p>
      <w:pPr>
        <w:spacing w:after="0" w:line="192" w:lineRule="exact"/>
        <w:rPr>
          <w:rFonts w:ascii="Arial" w:cs="Arial" w:eastAsia="Arial" w:hAnsi="Arial"/>
          <w:sz w:val="22"/>
          <w:szCs w:val="22"/>
          <w:color w:val="auto"/>
        </w:rPr>
      </w:pPr>
    </w:p>
    <w:p>
      <w:pPr>
        <w:ind w:right="120" w:firstLine="1305"/>
        <w:spacing w:after="0" w:line="289" w:lineRule="auto"/>
        <w:tabs>
          <w:tab w:leader="none" w:pos="219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Shares subject to this Award shall be issued and distributed only if the Units have vested in accordance with Section 1(a) and the Compensation Committee has certified the attainment of the Performance Measure with respect to all or any portion thereof; it being understood that if vesting of the Units is accelerated pursuant to Sections 1(c)(y) or 3(a)(ii) hereof, such vested Units shall remain subject to the attainment of the Performance Measure and no Shares shall be issued and distributed in respect of such Units unless and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Units (including any Units that have vested pursuant to Sections 1(c)(y) or 3(a)(ii) hereof), this Award shall terminate immediately and be of no further force or effect with respect to all of the Units or such portion thereof, as applicable.</w:t>
      </w:r>
    </w:p>
    <w:p>
      <w:pPr>
        <w:spacing w:after="0" w:line="157" w:lineRule="exact"/>
        <w:rPr>
          <w:rFonts w:ascii="Arial" w:cs="Arial" w:eastAsia="Arial" w:hAnsi="Arial"/>
          <w:sz w:val="19"/>
          <w:szCs w:val="19"/>
          <w:color w:val="auto"/>
        </w:rPr>
      </w:pPr>
    </w:p>
    <w:p>
      <w:pPr>
        <w:ind w:right="140" w:firstLine="1305"/>
        <w:spacing w:after="0" w:line="288" w:lineRule="auto"/>
        <w:tabs>
          <w:tab w:leader="none" w:pos="218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Grantee’s Employment (i) by the Company without Cause or (ii) by the Grantee for Good Reason, in either case occurring within the two-year period following a Change of Control,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(x)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or (y)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w:t>
      </w:r>
    </w:p>
    <w:p>
      <w:pPr>
        <w:sectPr>
          <w:pgSz w:w="11900" w:h="16838" w:orient="portrait"/>
          <w:cols w:equalWidth="0" w:num="1">
            <w:col w:w="11420"/>
          </w:cols>
          <w:pgMar w:left="240" w:top="585" w:right="239" w:bottom="1440" w:gutter="0" w:footer="0" w:header="0"/>
        </w:sectPr>
      </w:pPr>
    </w:p>
    <w:bookmarkStart w:id="87" w:name="page88"/>
    <w:bookmarkEnd w:id="87"/>
    <w:p>
      <w:pPr>
        <w:ind w:right="20"/>
        <w:spacing w:after="0" w:line="248" w:lineRule="auto"/>
        <w:rPr>
          <w:sz w:val="20"/>
          <w:szCs w:val="20"/>
          <w:color w:val="auto"/>
        </w:rPr>
      </w:pPr>
      <w:r>
        <w:rPr>
          <w:rFonts w:ascii="Arial" w:cs="Arial" w:eastAsia="Arial" w:hAnsi="Arial"/>
          <w:sz w:val="22"/>
          <w:szCs w:val="22"/>
          <w:color w:val="auto"/>
        </w:rPr>
        <w:t xml:space="preserve">shall be issued and distributed at the time of such certification (if any) in the amount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(For the avoidance of doubt, </w:t>
      </w:r>
      <w:r>
        <w:rPr>
          <w:rFonts w:ascii="Arial" w:cs="Arial" w:eastAsia="Arial" w:hAnsi="Arial"/>
          <w:sz w:val="22"/>
          <w:szCs w:val="22"/>
          <w:i w:val="1"/>
          <w:iCs w:val="1"/>
          <w:color w:val="auto"/>
        </w:rPr>
        <w:t>if</w:t>
      </w:r>
      <w:r>
        <w:rPr>
          <w:rFonts w:ascii="Arial" w:cs="Arial" w:eastAsia="Arial" w:hAnsi="Arial"/>
          <w:sz w:val="22"/>
          <w:szCs w:val="22"/>
          <w:color w:val="auto"/>
        </w:rPr>
        <w:t xml:space="preserve"> the Units subject to this Award (including any Units that vested pursuant to sub-clause (y) above) are subject to a Performance Measure that the Compensation Committee has certified has </w:t>
      </w:r>
      <w:r>
        <w:rPr>
          <w:rFonts w:ascii="Arial" w:cs="Arial" w:eastAsia="Arial" w:hAnsi="Arial"/>
          <w:sz w:val="22"/>
          <w:szCs w:val="22"/>
          <w:i w:val="1"/>
          <w:iCs w:val="1"/>
          <w:color w:val="auto"/>
        </w:rPr>
        <w:t>not</w:t>
      </w:r>
      <w:r>
        <w:rPr>
          <w:rFonts w:ascii="Arial" w:cs="Arial" w:eastAsia="Arial" w:hAnsi="Arial"/>
          <w:sz w:val="22"/>
          <w:szCs w:val="22"/>
          <w:color w:val="auto"/>
        </w:rPr>
        <w:t xml:space="preserve"> been attained with respect to all or any portion thereof, this Award shall terminate with respect to all of the Units or such portion thereof, as applicable, in accordance with Section 1(b) hereof.)</w:t>
      </w:r>
    </w:p>
    <w:p>
      <w:pPr>
        <w:spacing w:after="0" w:line="192" w:lineRule="exact"/>
        <w:rPr>
          <w:sz w:val="20"/>
          <w:szCs w:val="20"/>
          <w:color w:val="auto"/>
        </w:rPr>
      </w:pPr>
    </w:p>
    <w:p>
      <w:pPr>
        <w:ind w:right="80" w:firstLine="1305"/>
        <w:spacing w:after="0" w:line="253" w:lineRule="auto"/>
        <w:tabs>
          <w:tab w:leader="none" w:pos="210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186" w:lineRule="exact"/>
        <w:rPr>
          <w:sz w:val="20"/>
          <w:szCs w:val="20"/>
          <w:color w:val="auto"/>
        </w:rPr>
      </w:pPr>
    </w:p>
    <w:p>
      <w:pPr>
        <w:ind w:left="2200" w:hanging="895"/>
        <w:spacing w:after="0"/>
        <w:tabs>
          <w:tab w:leader="none" w:pos="22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Administrator</w:t>
      </w:r>
      <w:r>
        <w:rPr>
          <w:rFonts w:ascii="Arial" w:cs="Arial" w:eastAsia="Arial" w:hAnsi="Arial"/>
          <w:sz w:val="21"/>
          <w:szCs w:val="21"/>
          <w:color w:val="auto"/>
        </w:rPr>
        <w:t>” shall be defined as the Compensation Committee and, as applicable, any permitted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delegate thereof.</w:t>
      </w:r>
    </w:p>
    <w:p>
      <w:pPr>
        <w:spacing w:after="0" w:line="201" w:lineRule="exact"/>
        <w:rPr>
          <w:rFonts w:ascii="Arial" w:cs="Arial" w:eastAsia="Arial" w:hAnsi="Arial"/>
          <w:sz w:val="21"/>
          <w:szCs w:val="21"/>
          <w:color w:val="auto"/>
        </w:rPr>
      </w:pPr>
    </w:p>
    <w:p>
      <w:pPr>
        <w:ind w:left="2200" w:hanging="895"/>
        <w:spacing w:after="0"/>
        <w:tabs>
          <w:tab w:leader="none" w:pos="22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60" w:lineRule="exact"/>
        <w:rPr>
          <w:rFonts w:ascii="Arial" w:cs="Arial" w:eastAsia="Arial" w:hAnsi="Arial"/>
          <w:sz w:val="22"/>
          <w:szCs w:val="22"/>
          <w:color w:val="auto"/>
        </w:rPr>
      </w:pPr>
    </w:p>
    <w:p>
      <w:pPr>
        <w:jc w:val="both"/>
        <w:ind w:right="500" w:firstLine="1953"/>
        <w:spacing w:after="0" w:line="312" w:lineRule="auto"/>
        <w:tabs>
          <w:tab w:leader="none" w:pos="2797"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33" w:lineRule="exact"/>
        <w:rPr>
          <w:rFonts w:ascii="Arial" w:cs="Arial" w:eastAsia="Arial" w:hAnsi="Arial"/>
          <w:sz w:val="19"/>
          <w:szCs w:val="19"/>
          <w:color w:val="auto"/>
        </w:rPr>
      </w:pPr>
    </w:p>
    <w:p>
      <w:pPr>
        <w:ind w:left="2860" w:hanging="907"/>
        <w:spacing w:after="0"/>
        <w:tabs>
          <w:tab w:leader="none" w:pos="28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01" w:lineRule="exact"/>
        <w:rPr>
          <w:rFonts w:ascii="Arial" w:cs="Arial" w:eastAsia="Arial" w:hAnsi="Arial"/>
          <w:sz w:val="19"/>
          <w:szCs w:val="19"/>
          <w:color w:val="auto"/>
        </w:rPr>
      </w:pPr>
    </w:p>
    <w:p>
      <w:pPr>
        <w:jc w:val="both"/>
        <w:ind w:right="320" w:firstLine="1953"/>
        <w:spacing w:after="0" w:line="253" w:lineRule="auto"/>
        <w:tabs>
          <w:tab w:leader="none" w:pos="2917"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185" w:lineRule="exact"/>
        <w:rPr>
          <w:rFonts w:ascii="Arial" w:cs="Arial" w:eastAsia="Arial" w:hAnsi="Arial"/>
          <w:sz w:val="22"/>
          <w:szCs w:val="22"/>
          <w:color w:val="auto"/>
        </w:rPr>
      </w:pPr>
    </w:p>
    <w:p>
      <w:pPr>
        <w:ind w:right="560" w:firstLine="1953"/>
        <w:spacing w:after="0" w:line="271" w:lineRule="auto"/>
        <w:tabs>
          <w:tab w:leader="none" w:pos="2905" w:val="left"/>
        </w:tabs>
        <w:numPr>
          <w:ilvl w:val="1"/>
          <w:numId w:val="58"/>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208" w:lineRule="exact"/>
        <w:rPr>
          <w:rFonts w:ascii="Arial" w:cs="Arial" w:eastAsia="Arial" w:hAnsi="Arial"/>
          <w:sz w:val="21"/>
          <w:szCs w:val="21"/>
          <w:color w:val="auto"/>
        </w:rPr>
      </w:pPr>
    </w:p>
    <w:p>
      <w:pPr>
        <w:ind w:firstLine="1953"/>
        <w:spacing w:after="0" w:line="260" w:lineRule="auto"/>
        <w:tabs>
          <w:tab w:leader="none" w:pos="2845" w:val="left"/>
        </w:tabs>
        <w:numPr>
          <w:ilvl w:val="1"/>
          <w:numId w:val="58"/>
        </w:numPr>
        <w:rPr>
          <w:rFonts w:ascii="Arial" w:cs="Arial" w:eastAsia="Arial" w:hAnsi="Arial"/>
          <w:sz w:val="21"/>
          <w:szCs w:val="21"/>
          <w:color w:val="auto"/>
        </w:rPr>
      </w:pPr>
      <w:r>
        <w:rPr>
          <w:rFonts w:ascii="Arial" w:cs="Arial" w:eastAsia="Arial" w:hAnsi="Arial"/>
          <w:sz w:val="21"/>
          <w:szCs w:val="21"/>
          <w:color w:val="auto"/>
        </w:rPr>
        <w:t>for purposes of Section 7(a),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181"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 foregoing, if Grantee is party to an employment, severance-benefit, change of control or similar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91" w:right="279" w:bottom="1440" w:gutter="0" w:footer="0" w:header="0"/>
        </w:sectPr>
      </w:pPr>
    </w:p>
    <w:bookmarkStart w:id="88" w:name="page89"/>
    <w:bookmarkEnd w:id="88"/>
    <w:p>
      <w:pPr>
        <w:ind w:right="100"/>
        <w:spacing w:after="0" w:line="250" w:lineRule="auto"/>
        <w:rPr>
          <w:sz w:val="20"/>
          <w:szCs w:val="20"/>
          <w:color w:val="auto"/>
        </w:rPr>
      </w:pPr>
      <w:r>
        <w:rPr>
          <w:rFonts w:ascii="Arial" w:cs="Arial" w:eastAsia="Arial" w:hAnsi="Arial"/>
          <w:sz w:val="22"/>
          <w:szCs w:val="22"/>
          <w:color w:val="auto"/>
        </w:rPr>
        <w:t xml:space="preserve">agreement with the Company that contains a definition of “Cause” (or a correlative term), such definition will apply (in the case of such Grantee for purposes of this Agreement) in lieu of Sections 2(b)(i) through (iv) of the definition of “Cause” set forth above during the term of such other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Section 2(b)(v) of the definition set forth above will always apply for purposes of this Agreement.</w:t>
      </w:r>
    </w:p>
    <w:p>
      <w:pPr>
        <w:spacing w:after="0" w:line="188" w:lineRule="exact"/>
        <w:rPr>
          <w:sz w:val="20"/>
          <w:szCs w:val="20"/>
          <w:color w:val="auto"/>
        </w:rPr>
      </w:pPr>
    </w:p>
    <w:p>
      <w:pPr>
        <w:ind w:left="2200" w:hanging="895"/>
        <w:spacing w:after="0"/>
        <w:tabs>
          <w:tab w:leader="none" w:pos="22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02" w:lineRule="exact"/>
        <w:rPr>
          <w:sz w:val="20"/>
          <w:szCs w:val="20"/>
          <w:color w:val="auto"/>
        </w:rPr>
      </w:pPr>
    </w:p>
    <w:p>
      <w:pPr>
        <w:ind w:right="140" w:firstLine="1953"/>
        <w:spacing w:after="0" w:line="264" w:lineRule="auto"/>
        <w:tabs>
          <w:tab w:leader="none" w:pos="2239"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75" w:lineRule="exact"/>
        <w:rPr>
          <w:rFonts w:ascii="Arial" w:cs="Arial" w:eastAsia="Arial" w:hAnsi="Arial"/>
          <w:sz w:val="21"/>
          <w:szCs w:val="21"/>
          <w:color w:val="auto"/>
        </w:rPr>
      </w:pPr>
    </w:p>
    <w:p>
      <w:pPr>
        <w:ind w:firstLine="1953"/>
        <w:spacing w:after="0" w:line="294" w:lineRule="auto"/>
        <w:tabs>
          <w:tab w:leader="none" w:pos="2299"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368" w:lineRule="exact"/>
        <w:rPr>
          <w:rFonts w:ascii="Arial" w:cs="Arial" w:eastAsia="Arial" w:hAnsi="Arial"/>
          <w:sz w:val="19"/>
          <w:szCs w:val="19"/>
          <w:color w:val="auto"/>
        </w:rPr>
      </w:pPr>
    </w:p>
    <w:p>
      <w:pPr>
        <w:ind w:right="20" w:firstLine="1953"/>
        <w:spacing w:after="0" w:line="300" w:lineRule="auto"/>
        <w:tabs>
          <w:tab w:leader="none" w:pos="2359"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47" w:lineRule="exact"/>
        <w:rPr>
          <w:rFonts w:ascii="Arial" w:cs="Arial" w:eastAsia="Arial" w:hAnsi="Arial"/>
          <w:sz w:val="19"/>
          <w:szCs w:val="19"/>
          <w:color w:val="auto"/>
        </w:rPr>
      </w:pPr>
    </w:p>
    <w:p>
      <w:pPr>
        <w:ind w:right="180" w:firstLine="1953"/>
        <w:spacing w:after="0" w:line="248" w:lineRule="auto"/>
        <w:tabs>
          <w:tab w:leader="none" w:pos="2333" w:val="left"/>
        </w:tabs>
        <w:numPr>
          <w:ilvl w:val="0"/>
          <w:numId w:val="60"/>
        </w:numPr>
        <w:rPr>
          <w:rFonts w:ascii="Arial" w:cs="Arial" w:eastAsia="Arial" w:hAnsi="Arial"/>
          <w:sz w:val="22"/>
          <w:szCs w:val="22"/>
          <w:color w:val="auto"/>
        </w:rPr>
      </w:pPr>
      <w:r>
        <w:rPr>
          <w:rFonts w:ascii="Arial" w:cs="Arial" w:eastAsia="Arial" w:hAnsi="Arial"/>
          <w:sz w:val="22"/>
          <w:szCs w:val="22"/>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2"/>
          <w:szCs w:val="22"/>
          <w:u w:val="single" w:color="auto"/>
          <w:color w:val="auto"/>
        </w:rPr>
        <w:t>provided that</w:t>
      </w:r>
      <w:r>
        <w:rPr>
          <w:rFonts w:ascii="Arial" w:cs="Arial" w:eastAsia="Arial" w:hAnsi="Arial"/>
          <w:sz w:val="22"/>
          <w:szCs w:val="22"/>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a participant therein shall not be deemed a Present Client or Past Client (as applicable) hereunder); and</w:t>
      </w:r>
    </w:p>
    <w:p>
      <w:pPr>
        <w:spacing w:after="0" w:line="195" w:lineRule="exact"/>
        <w:rPr>
          <w:rFonts w:ascii="Arial" w:cs="Arial" w:eastAsia="Arial" w:hAnsi="Arial"/>
          <w:sz w:val="22"/>
          <w:szCs w:val="22"/>
          <w:color w:val="auto"/>
        </w:rPr>
      </w:pPr>
    </w:p>
    <w:p>
      <w:pPr>
        <w:ind w:right="260" w:firstLine="1953"/>
        <w:spacing w:after="0" w:line="320" w:lineRule="auto"/>
        <w:tabs>
          <w:tab w:leader="none" w:pos="2273"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25" w:lineRule="exact"/>
        <w:rPr>
          <w:sz w:val="20"/>
          <w:szCs w:val="20"/>
          <w:color w:val="auto"/>
        </w:rPr>
      </w:pPr>
    </w:p>
    <w:p>
      <w:pPr>
        <w:ind w:right="280" w:firstLine="1305"/>
        <w:spacing w:after="0" w:line="263" w:lineRule="auto"/>
        <w:tabs>
          <w:tab w:leader="none" w:pos="21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Fund</w:t>
      </w:r>
      <w:r>
        <w:rPr>
          <w:rFonts w:ascii="Arial" w:cs="Arial" w:eastAsia="Arial" w:hAnsi="Arial"/>
          <w:sz w:val="22"/>
          <w:szCs w:val="22"/>
          <w:color w:val="auto"/>
        </w:rPr>
        <w:t>” shall mean any collective investment vehicle (whether open-ended or closed-ended), including, without limitation, an investment company (whether or not registered under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89" w:name="page90"/>
    <w:bookmarkEnd w:id="89"/>
    <w:p>
      <w:pPr>
        <w:ind w:right="320"/>
        <w:spacing w:after="0" w:line="263" w:lineRule="auto"/>
        <w:rPr>
          <w:sz w:val="20"/>
          <w:szCs w:val="20"/>
          <w:color w:val="auto"/>
        </w:rPr>
      </w:pPr>
      <w:r>
        <w:rPr>
          <w:rFonts w:ascii="Arial" w:cs="Arial" w:eastAsia="Arial" w:hAnsi="Arial"/>
          <w:sz w:val="22"/>
          <w:szCs w:val="22"/>
          <w:color w:val="auto"/>
        </w:rPr>
        <w:t>Investment Company Act of 1940, as amended), a general or limited partnership, a trust or a commingled fund, in any such case organized (or otherwise formed) in any jurisdiction.</w:t>
      </w:r>
    </w:p>
    <w:p>
      <w:pPr>
        <w:spacing w:after="0" w:line="215" w:lineRule="exact"/>
        <w:rPr>
          <w:sz w:val="20"/>
          <w:szCs w:val="20"/>
          <w:color w:val="auto"/>
        </w:rPr>
      </w:pPr>
    </w:p>
    <w:p>
      <w:pPr>
        <w:ind w:right="120" w:firstLine="1305"/>
        <w:spacing w:after="0" w:line="250" w:lineRule="auto"/>
        <w:tabs>
          <w:tab w:leader="none" w:pos="2185"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28" w:lineRule="exact"/>
        <w:rPr>
          <w:rFonts w:ascii="Arial" w:cs="Arial" w:eastAsia="Arial" w:hAnsi="Arial"/>
          <w:sz w:val="22"/>
          <w:szCs w:val="22"/>
          <w:color w:val="auto"/>
        </w:rPr>
      </w:pPr>
    </w:p>
    <w:p>
      <w:pPr>
        <w:ind w:left="2800" w:hanging="847"/>
        <w:spacing w:after="0"/>
        <w:tabs>
          <w:tab w:leader="none" w:pos="2800" w:val="left"/>
        </w:tabs>
        <w:numPr>
          <w:ilvl w:val="1"/>
          <w:numId w:val="62"/>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54" w:lineRule="exact"/>
        <w:rPr>
          <w:rFonts w:ascii="Arial" w:cs="Arial" w:eastAsia="Arial" w:hAnsi="Arial"/>
          <w:sz w:val="19"/>
          <w:szCs w:val="19"/>
          <w:color w:val="auto"/>
        </w:rPr>
      </w:pPr>
    </w:p>
    <w:p>
      <w:pPr>
        <w:ind w:right="160" w:firstLine="1953"/>
        <w:spacing w:after="0" w:line="263" w:lineRule="auto"/>
        <w:tabs>
          <w:tab w:leader="none" w:pos="2857" w:val="left"/>
        </w:tabs>
        <w:numPr>
          <w:ilvl w:val="1"/>
          <w:numId w:val="62"/>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174" w:lineRule="exact"/>
        <w:rPr>
          <w:rFonts w:ascii="Arial" w:cs="Arial" w:eastAsia="Arial" w:hAnsi="Arial"/>
          <w:sz w:val="22"/>
          <w:szCs w:val="22"/>
          <w:color w:val="auto"/>
        </w:rPr>
      </w:pPr>
    </w:p>
    <w:p>
      <w:pPr>
        <w:ind w:right="60" w:firstLine="1953"/>
        <w:spacing w:after="0" w:line="263" w:lineRule="auto"/>
        <w:tabs>
          <w:tab w:leader="none" w:pos="2917" w:val="left"/>
        </w:tabs>
        <w:numPr>
          <w:ilvl w:val="1"/>
          <w:numId w:val="62"/>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188" w:lineRule="exact"/>
        <w:rPr>
          <w:sz w:val="20"/>
          <w:szCs w:val="20"/>
          <w:color w:val="auto"/>
        </w:rPr>
      </w:pPr>
    </w:p>
    <w:p>
      <w:pPr>
        <w:ind w:right="140" w:firstLine="1305"/>
        <w:spacing w:after="0" w:line="266" w:lineRule="auto"/>
        <w:tabs>
          <w:tab w:leader="none" w:pos="2161"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214" w:lineRule="exact"/>
        <w:rPr>
          <w:rFonts w:ascii="Arial" w:cs="Arial" w:eastAsia="Arial" w:hAnsi="Arial"/>
          <w:sz w:val="21"/>
          <w:szCs w:val="21"/>
          <w:color w:val="auto"/>
        </w:rPr>
      </w:pPr>
    </w:p>
    <w:p>
      <w:pPr>
        <w:ind w:firstLine="1305"/>
        <w:spacing w:after="0" w:line="286" w:lineRule="auto"/>
        <w:tabs>
          <w:tab w:leader="none" w:pos="2197"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xml:space="preserve">”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90" w:name="page91"/>
    <w:bookmarkEnd w:id="90"/>
    <w:p>
      <w:pPr>
        <w:spacing w:after="0"/>
        <w:rPr>
          <w:sz w:val="20"/>
          <w:szCs w:val="20"/>
          <w:color w:val="auto"/>
        </w:rPr>
      </w:pPr>
      <w:r>
        <w:rPr>
          <w:rFonts w:ascii="Arial" w:cs="Arial" w:eastAsia="Arial" w:hAnsi="Arial"/>
          <w:sz w:val="21"/>
          <w:szCs w:val="21"/>
          <w:color w:val="auto"/>
        </w:rPr>
        <w:t>subsidiary or Affiliate thereof, at any time during the two (2) years immediately preceding the date of such termination.</w:t>
      </w:r>
    </w:p>
    <w:p>
      <w:pPr>
        <w:spacing w:after="0" w:line="272" w:lineRule="exact"/>
        <w:rPr>
          <w:sz w:val="20"/>
          <w:szCs w:val="20"/>
          <w:color w:val="auto"/>
        </w:rPr>
      </w:pPr>
    </w:p>
    <w:p>
      <w:pPr>
        <w:ind w:right="1140" w:firstLine="1305"/>
        <w:spacing w:after="0" w:line="343" w:lineRule="auto"/>
        <w:tabs>
          <w:tab w:leader="none" w:pos="21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Performance Measure</w:t>
      </w:r>
      <w:r>
        <w:rPr>
          <w:rFonts w:ascii="Arial" w:cs="Arial" w:eastAsia="Arial" w:hAnsi="Arial"/>
          <w:sz w:val="19"/>
          <w:szCs w:val="19"/>
          <w:color w:val="auto"/>
        </w:rPr>
        <w:t xml:space="preserve">” (a Performance Criteria under the Plan) shall mean the target for the Performance Period (each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as applicable), as established by the Compensation Committee.</w:t>
      </w:r>
    </w:p>
    <w:p>
      <w:pPr>
        <w:spacing w:after="0" w:line="145" w:lineRule="exact"/>
        <w:rPr>
          <w:rFonts w:ascii="Arial" w:cs="Arial" w:eastAsia="Arial" w:hAnsi="Arial"/>
          <w:sz w:val="19"/>
          <w:szCs w:val="19"/>
          <w:color w:val="auto"/>
        </w:rPr>
      </w:pPr>
    </w:p>
    <w:p>
      <w:pPr>
        <w:ind w:right="800" w:firstLine="1305"/>
        <w:spacing w:after="0" w:line="343" w:lineRule="auto"/>
        <w:tabs>
          <w:tab w:leader="none" w:pos="214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5" w:lineRule="exact"/>
        <w:rPr>
          <w:rFonts w:ascii="Arial" w:cs="Arial" w:eastAsia="Arial" w:hAnsi="Arial"/>
          <w:sz w:val="19"/>
          <w:szCs w:val="19"/>
          <w:color w:val="auto"/>
        </w:rPr>
      </w:pPr>
    </w:p>
    <w:p>
      <w:pPr>
        <w:ind w:firstLine="1305"/>
        <w:spacing w:after="0" w:line="286" w:lineRule="auto"/>
        <w:tabs>
          <w:tab w:leader="none" w:pos="214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right="20" w:firstLine="1305"/>
        <w:spacing w:after="0" w:line="289" w:lineRule="auto"/>
        <w:tabs>
          <w:tab w:leader="none" w:pos="21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8" w:lineRule="exact"/>
        <w:rPr>
          <w:sz w:val="20"/>
          <w:szCs w:val="20"/>
          <w:color w:val="auto"/>
        </w:rPr>
      </w:pPr>
    </w:p>
    <w:p>
      <w:pPr>
        <w:ind w:right="500" w:firstLine="1305"/>
        <w:spacing w:after="0" w:line="263" w:lineRule="auto"/>
        <w:tabs>
          <w:tab w:leader="none" w:pos="2107"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175" w:lineRule="exact"/>
        <w:rPr>
          <w:sz w:val="20"/>
          <w:szCs w:val="20"/>
          <w:color w:val="auto"/>
        </w:rPr>
      </w:pPr>
    </w:p>
    <w:p>
      <w:pPr>
        <w:ind w:right="20" w:firstLine="1305"/>
        <w:spacing w:after="0" w:line="253" w:lineRule="auto"/>
        <w:tabs>
          <w:tab w:leader="none" w:pos="218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 or Disability</w:t>
      </w:r>
      <w:r>
        <w:rPr>
          <w:rFonts w:ascii="Arial" w:cs="Arial" w:eastAsia="Arial" w:hAnsi="Arial"/>
          <w:sz w:val="22"/>
          <w:szCs w:val="22"/>
          <w:color w:val="auto"/>
        </w:rPr>
        <w:t xml:space="preserve">. If the Grantee’s Employment terminates by reason of death or disability, the Units subject to this Award shall automatically fully vest at the time of such termination; </w:t>
      </w:r>
      <w:r>
        <w:rPr>
          <w:rFonts w:ascii="Arial" w:cs="Arial" w:eastAsia="Arial" w:hAnsi="Arial"/>
          <w:sz w:val="22"/>
          <w:szCs w:val="22"/>
          <w:u w:val="single" w:color="auto"/>
          <w:color w:val="auto"/>
        </w:rPr>
        <w:t>provided that</w:t>
      </w:r>
      <w:r>
        <w:rPr>
          <w:rFonts w:ascii="Arial" w:cs="Arial" w:eastAsia="Arial" w:hAnsi="Arial"/>
          <w:sz w:val="22"/>
          <w:szCs w:val="22"/>
          <w:color w:val="auto"/>
        </w:rPr>
        <w:t>, if this Award is subject to a Performance Measure, the Shares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1" w:right="259" w:bottom="1440" w:gutter="0" w:footer="0" w:header="0"/>
        </w:sectPr>
      </w:pPr>
    </w:p>
    <w:bookmarkStart w:id="91" w:name="page92"/>
    <w:bookmarkEnd w:id="91"/>
    <w:p>
      <w:pPr>
        <w:ind w:right="60"/>
        <w:spacing w:after="0" w:line="288" w:lineRule="auto"/>
        <w:rPr>
          <w:sz w:val="20"/>
          <w:szCs w:val="20"/>
          <w:color w:val="auto"/>
        </w:rPr>
      </w:pPr>
      <w:r>
        <w:rPr>
          <w:rFonts w:ascii="Arial" w:cs="Arial" w:eastAsia="Arial" w:hAnsi="Arial"/>
          <w:sz w:val="19"/>
          <w:szCs w:val="19"/>
          <w:color w:val="auto"/>
        </w:rPr>
        <w:t xml:space="preserve">subject to this Award shall only be issued and distributed pursuant to Section 1(b) if (i)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Units subject to this Award (including any Units that vested pursuant to sub-clause (ii) above) are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of the Units or any portion thereof, as applicable, in accordance with Section 1(b) hereof.)</w:t>
      </w:r>
    </w:p>
    <w:p>
      <w:pPr>
        <w:spacing w:after="0" w:line="160" w:lineRule="exact"/>
        <w:rPr>
          <w:sz w:val="20"/>
          <w:szCs w:val="20"/>
          <w:color w:val="auto"/>
        </w:rPr>
      </w:pPr>
    </w:p>
    <w:p>
      <w:pPr>
        <w:ind w:right="100" w:firstLine="1305"/>
        <w:spacing w:after="0" w:line="247" w:lineRule="auto"/>
        <w:tabs>
          <w:tab w:leader="none" w:pos="2197"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Grantee’s Employment terminates for any reason other than death or disability or in connection with a Change of Control described in Section 1(c), this Award shall, to the extent not already vested as described herein, terminate immediately and be of no further force or effect; it being understood that this Award shall remain outstanding following the date of any termination with respect to any Units subject to a Performance Measure that have vested (including pursuant to Sections 1(c)(y) or 3(a)(ii) hereof) until the Shares to be issued in respect thereof are issued and distributed or the Award is terminated in accordance with Section 1(b).</w:t>
      </w:r>
    </w:p>
    <w:p>
      <w:pPr>
        <w:spacing w:after="0" w:line="234"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215" w:lineRule="exact"/>
        <w:rPr>
          <w:sz w:val="20"/>
          <w:szCs w:val="20"/>
          <w:color w:val="auto"/>
        </w:rPr>
      </w:pPr>
    </w:p>
    <w:p>
      <w:pPr>
        <w:ind w:right="80" w:firstLine="1305"/>
        <w:spacing w:after="0" w:line="292" w:lineRule="auto"/>
        <w:tabs>
          <w:tab w:leader="none" w:pos="2107"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Vesting and Distribution</w:t>
      </w:r>
      <w:r>
        <w:rPr>
          <w:rFonts w:ascii="Arial" w:cs="Arial" w:eastAsia="Arial" w:hAnsi="Arial"/>
          <w:sz w:val="19"/>
          <w:szCs w:val="19"/>
          <w:color w:val="auto"/>
        </w:rPr>
        <w:t xml:space="preserve">. The Units shall be distributed only in Shares, such that the Grantee shall be entitled to receive one Share for each vested Unit following, if applicable, attainment of the Performance Measure. The Shares subject to this Award shall be issued and distributed to the Grantee pursuant to Section 1 hereof, and the vesting schedule and, if applicable, performance requirements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with such issuance and distribution of the Shares (whether the Shares are to be held by the Company on the Grantee’s behalf pursuant to Section 14(b) hereof or issued directly to the Grantee) to occur, in all cases, no later than March 15 of the year following the year in which the Units vest, in accordance with the short-term deferral exception under Code Section 409A and the regulations and guidance thereunder.</w:t>
      </w:r>
    </w:p>
    <w:p>
      <w:pPr>
        <w:spacing w:after="0" w:line="151"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Any sales of Shares are subject to the Company’s insider trading policy, equity ownership guidelines and other Company policies as may be in effect from time to time or otherwise established by the Administrator.</w:t>
      </w:r>
    </w:p>
    <w:p>
      <w:pPr>
        <w:spacing w:after="0" w:line="175" w:lineRule="exact"/>
        <w:rPr>
          <w:sz w:val="20"/>
          <w:szCs w:val="20"/>
          <w:color w:val="auto"/>
        </w:rPr>
      </w:pPr>
    </w:p>
    <w:p>
      <w:pPr>
        <w:ind w:firstLine="1305"/>
        <w:spacing w:after="0" w:line="290" w:lineRule="auto"/>
        <w:tabs>
          <w:tab w:leader="none" w:pos="2107"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any cash dividends or other cash distributions to the holders of Shares of the Company’s common stock, the Grantee shall have the right to receive payments in lieu thereof in respect of the Units subject to this Award (“</w:t>
      </w: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such a cash dividend or other cash distribution prior to the issuance and distribution of the Shares subject to this Award or prior to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total number of then outstanding Units. Such amounts shall be subject to the same vesting, payment (without interest), issuance, distribution and other terms and conditions of the Units to which they relate as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92" w:name="page93"/>
    <w:bookmarkEnd w:id="92"/>
    <w:p>
      <w:pPr>
        <w:ind w:right="140"/>
        <w:spacing w:after="0" w:line="253" w:lineRule="auto"/>
        <w:rPr>
          <w:sz w:val="20"/>
          <w:szCs w:val="20"/>
          <w:color w:val="auto"/>
        </w:rPr>
      </w:pPr>
      <w:r>
        <w:rPr>
          <w:rFonts w:ascii="Arial" w:cs="Arial" w:eastAsia="Arial" w:hAnsi="Arial"/>
          <w:sz w:val="22"/>
          <w:szCs w:val="22"/>
          <w:color w:val="auto"/>
        </w:rPr>
        <w:t>provided in this Agreement, including, for the avoidance of doubt, the attainment of any Performance Measure, as certified by the Compensation Committee. References in this Agreement to Units shall, as appropriate, include any Dividend Equivalent Rights described in this Section 5.</w:t>
      </w:r>
    </w:p>
    <w:p>
      <w:pPr>
        <w:spacing w:after="0" w:line="186" w:lineRule="exact"/>
        <w:rPr>
          <w:sz w:val="20"/>
          <w:szCs w:val="20"/>
          <w:color w:val="auto"/>
        </w:rPr>
      </w:pPr>
    </w:p>
    <w:p>
      <w:pPr>
        <w:jc w:val="both"/>
        <w:ind w:right="140" w:firstLine="1305"/>
        <w:spacing w:after="0" w:line="250" w:lineRule="auto"/>
        <w:tabs>
          <w:tab w:leader="none" w:pos="210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This Award shall not be interpreted to bestow upon the Grantee any equity interest or ownership in the Company or any subsidiary or Affiliate prior to the dates on which the Company delivers Shares to the Grantee. The Grantee shall have no rights as a shareholder with respect to the Units, and shall have the rights of a shareholder only as to those Shares, if any, that are actually delivered under this Award.</w:t>
      </w:r>
    </w:p>
    <w:p>
      <w:pPr>
        <w:spacing w:after="0" w:line="228" w:lineRule="exact"/>
        <w:rPr>
          <w:rFonts w:ascii="Arial" w:cs="Arial" w:eastAsia="Arial" w:hAnsi="Arial"/>
          <w:sz w:val="22"/>
          <w:szCs w:val="22"/>
          <w:color w:val="auto"/>
        </w:rPr>
      </w:pPr>
    </w:p>
    <w:p>
      <w:pPr>
        <w:ind w:left="2120" w:hanging="815"/>
        <w:spacing w:after="0"/>
        <w:tabs>
          <w:tab w:leader="none" w:pos="212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57" w:lineRule="auto"/>
        <w:tabs>
          <w:tab w:leader="none" w:pos="2185" w:val="left"/>
        </w:tabs>
        <w:numPr>
          <w:ilvl w:val="0"/>
          <w:numId w:val="71"/>
        </w:numPr>
        <w:rPr>
          <w:rFonts w:ascii="Arial" w:cs="Arial" w:eastAsia="Arial" w:hAnsi="Arial"/>
          <w:sz w:val="21"/>
          <w:szCs w:val="21"/>
          <w:color w:val="auto"/>
        </w:rPr>
      </w:pPr>
      <w:r>
        <w:rPr>
          <w:rFonts w:ascii="Arial" w:cs="Arial" w:eastAsia="Arial" w:hAnsi="Arial"/>
          <w:sz w:val="21"/>
          <w:szCs w:val="21"/>
          <w:color w:val="auto"/>
        </w:rPr>
        <w:t>In consideration of the Award of Units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227"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176" w:lineRule="exact"/>
        <w:rPr>
          <w:sz w:val="20"/>
          <w:szCs w:val="20"/>
          <w:color w:val="auto"/>
        </w:rPr>
      </w:pPr>
    </w:p>
    <w:p>
      <w:pPr>
        <w:ind w:right="180" w:firstLine="1305"/>
        <w:spacing w:after="0" w:line="300" w:lineRule="auto"/>
        <w:tabs>
          <w:tab w:leader="none" w:pos="1728" w:val="left"/>
        </w:tabs>
        <w:numPr>
          <w:ilvl w:val="0"/>
          <w:numId w:val="72"/>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147" w:lineRule="exact"/>
        <w:rPr>
          <w:rFonts w:ascii="Arial" w:cs="Arial" w:eastAsia="Arial" w:hAnsi="Arial"/>
          <w:sz w:val="19"/>
          <w:szCs w:val="19"/>
          <w:color w:val="auto"/>
        </w:rPr>
      </w:pPr>
    </w:p>
    <w:p>
      <w:pPr>
        <w:ind w:right="20" w:firstLine="1305"/>
        <w:spacing w:after="0" w:line="307" w:lineRule="auto"/>
        <w:tabs>
          <w:tab w:leader="none" w:pos="17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Sections 7(a) and (b) of this Agreement, the Grantee agrees, for the benefit of the Company and its subsidiaries and Affiliates, that the Grantee shall not, during the term of his or her Employment (or other applicable service relationship) with the Company or any of its subsidiaries or Affiliates and for one (1) year thereafter, directly or indirectly (whether individually or as owner, part owner, shareholder, partner, member, director, officer,</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1" w:right="279" w:bottom="1440" w:gutter="0" w:footer="0" w:header="0"/>
        </w:sectPr>
      </w:pPr>
    </w:p>
    <w:bookmarkStart w:id="93" w:name="page94"/>
    <w:bookmarkEnd w:id="93"/>
    <w:p>
      <w:pPr>
        <w:ind w:right="40"/>
        <w:spacing w:after="0" w:line="263" w:lineRule="auto"/>
        <w:rPr>
          <w:sz w:val="20"/>
          <w:szCs w:val="20"/>
          <w:color w:val="auto"/>
        </w:rPr>
      </w:pPr>
      <w:r>
        <w:rPr>
          <w:rFonts w:ascii="Arial" w:cs="Arial" w:eastAsia="Arial" w:hAnsi="Arial"/>
          <w:sz w:val="22"/>
          <w:szCs w:val="22"/>
          <w:color w:val="auto"/>
        </w:rPr>
        <w:t>trustee, employee, agent, consultant or in any other capacity, on behalf of himself or any other Person (other than the Company or a subsidiary or Affiliate thereof while employed by the Company)):</w:t>
      </w:r>
    </w:p>
    <w:p>
      <w:pPr>
        <w:spacing w:after="0" w:line="175" w:lineRule="exact"/>
        <w:rPr>
          <w:sz w:val="20"/>
          <w:szCs w:val="20"/>
          <w:color w:val="auto"/>
        </w:rPr>
      </w:pPr>
    </w:p>
    <w:p>
      <w:pPr>
        <w:ind w:right="580" w:firstLine="1953"/>
        <w:spacing w:after="0" w:line="263" w:lineRule="auto"/>
        <w:tabs>
          <w:tab w:leader="none" w:pos="2797" w:val="left"/>
        </w:tabs>
        <w:numPr>
          <w:ilvl w:val="0"/>
          <w:numId w:val="73"/>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174" w:lineRule="exact"/>
        <w:rPr>
          <w:rFonts w:ascii="Arial" w:cs="Arial" w:eastAsia="Arial" w:hAnsi="Arial"/>
          <w:sz w:val="22"/>
          <w:szCs w:val="22"/>
          <w:color w:val="auto"/>
        </w:rPr>
      </w:pPr>
    </w:p>
    <w:p>
      <w:pPr>
        <w:ind w:firstLine="1953"/>
        <w:spacing w:after="0" w:line="297" w:lineRule="auto"/>
        <w:tabs>
          <w:tab w:leader="none" w:pos="2857" w:val="left"/>
        </w:tabs>
        <w:numPr>
          <w:ilvl w:val="0"/>
          <w:numId w:val="73"/>
        </w:numPr>
        <w:rPr>
          <w:rFonts w:ascii="Arial" w:cs="Arial" w:eastAsia="Arial" w:hAnsi="Arial"/>
          <w:sz w:val="19"/>
          <w:szCs w:val="19"/>
          <w:color w:val="auto"/>
        </w:rPr>
      </w:pPr>
      <w:r>
        <w:rPr>
          <w:rFonts w:ascii="Arial" w:cs="Arial" w:eastAsia="Arial" w:hAnsi="Arial"/>
          <w:sz w:val="19"/>
          <w:szCs w:val="19"/>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187" w:lineRule="exact"/>
        <w:rPr>
          <w:rFonts w:ascii="Arial" w:cs="Arial" w:eastAsia="Arial" w:hAnsi="Arial"/>
          <w:sz w:val="19"/>
          <w:szCs w:val="19"/>
          <w:color w:val="auto"/>
        </w:rPr>
      </w:pPr>
    </w:p>
    <w:p>
      <w:pPr>
        <w:ind w:right="180" w:firstLine="1953"/>
        <w:spacing w:after="0" w:line="343" w:lineRule="auto"/>
        <w:tabs>
          <w:tab w:leader="none" w:pos="2917" w:val="left"/>
        </w:tabs>
        <w:numPr>
          <w:ilvl w:val="0"/>
          <w:numId w:val="73"/>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5" w:lineRule="exact"/>
        <w:rPr>
          <w:rFonts w:ascii="Arial" w:cs="Arial" w:eastAsia="Arial" w:hAnsi="Arial"/>
          <w:sz w:val="19"/>
          <w:szCs w:val="19"/>
          <w:color w:val="auto"/>
        </w:rPr>
      </w:pPr>
    </w:p>
    <w:p>
      <w:pPr>
        <w:ind w:right="180" w:firstLine="1953"/>
        <w:spacing w:after="0" w:line="263" w:lineRule="auto"/>
        <w:tabs>
          <w:tab w:leader="none" w:pos="2905" w:val="left"/>
        </w:tabs>
        <w:numPr>
          <w:ilvl w:val="0"/>
          <w:numId w:val="73"/>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15"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7(c) shall not be applicable to Clients (including Potential Clients) who are also immediate family members of the Grantee.</w:t>
      </w:r>
    </w:p>
    <w:p>
      <w:pPr>
        <w:spacing w:after="0" w:line="175" w:lineRule="exact"/>
        <w:rPr>
          <w:sz w:val="20"/>
          <w:szCs w:val="20"/>
          <w:color w:val="auto"/>
        </w:rPr>
      </w:pPr>
    </w:p>
    <w:p>
      <w:pPr>
        <w:ind w:right="680" w:firstLine="1305"/>
        <w:spacing w:after="0" w:line="254"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7(a),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185" w:lineRule="exact"/>
        <w:rPr>
          <w:rFonts w:ascii="Arial" w:cs="Arial" w:eastAsia="Arial" w:hAnsi="Arial"/>
          <w:sz w:val="22"/>
          <w:szCs w:val="22"/>
          <w:color w:val="auto"/>
        </w:rPr>
      </w:pPr>
    </w:p>
    <w:p>
      <w:pPr>
        <w:ind w:right="60" w:firstLine="1305"/>
        <w:spacing w:after="0" w:line="287"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94" w:name="page95"/>
    <w:bookmarkEnd w:id="94"/>
    <w:p>
      <w:pPr>
        <w:spacing w:after="0" w:line="285" w:lineRule="auto"/>
        <w:rPr>
          <w:sz w:val="20"/>
          <w:szCs w:val="20"/>
          <w:color w:val="auto"/>
        </w:rPr>
      </w:pP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7(e) shall not (i) apply to any knowledge, information or property which (x) is generally known or available to 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this immunity from liability, the Grantee may be held liable if he or she accesses trade secrets by unauthorized means.</w:t>
      </w:r>
    </w:p>
    <w:p>
      <w:pPr>
        <w:spacing w:after="0" w:line="170" w:lineRule="exact"/>
        <w:rPr>
          <w:sz w:val="20"/>
          <w:szCs w:val="20"/>
          <w:color w:val="auto"/>
        </w:rPr>
      </w:pPr>
    </w:p>
    <w:p>
      <w:pPr>
        <w:ind w:firstLine="1305"/>
        <w:spacing w:after="0" w:line="286" w:lineRule="auto"/>
        <w:tabs>
          <w:tab w:leader="none" w:pos="172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ind w:firstLine="1305"/>
        <w:spacing w:after="0" w:line="246" w:lineRule="auto"/>
        <w:tabs>
          <w:tab w:leader="none" w:pos="1765" w:val="left"/>
        </w:tabs>
        <w:numPr>
          <w:ilvl w:val="0"/>
          <w:numId w:val="75"/>
        </w:numPr>
        <w:rPr>
          <w:rFonts w:ascii="Arial" w:cs="Arial" w:eastAsia="Arial" w:hAnsi="Arial"/>
          <w:sz w:val="22"/>
          <w:szCs w:val="22"/>
          <w:color w:val="auto"/>
        </w:rPr>
      </w:pPr>
      <w:r>
        <w:rPr>
          <w:rFonts w:ascii="Arial" w:cs="Arial" w:eastAsia="Arial" w:hAnsi="Arial"/>
          <w:sz w:val="22"/>
          <w:szCs w:val="22"/>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1" w:right="259" w:bottom="1440" w:gutter="0" w:footer="0" w:header="0"/>
        </w:sectPr>
      </w:pPr>
    </w:p>
    <w:bookmarkStart w:id="95" w:name="page96"/>
    <w:bookmarkEnd w:id="95"/>
    <w:p>
      <w:pPr>
        <w:ind w:left="-20" w:right="20" w:firstLine="1305"/>
        <w:spacing w:after="0" w:line="250" w:lineRule="auto"/>
        <w:tabs>
          <w:tab w:leader="none" w:pos="17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7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188" w:lineRule="exact"/>
        <w:rPr>
          <w:sz w:val="20"/>
          <w:szCs w:val="20"/>
          <w:color w:val="auto"/>
        </w:rPr>
      </w:pPr>
    </w:p>
    <w:p>
      <w:pPr>
        <w:ind w:left="-20" w:firstLine="1305"/>
        <w:spacing w:after="0" w:line="284" w:lineRule="auto"/>
        <w:tabs>
          <w:tab w:leader="none" w:pos="208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Grantee breaches any of the provisions of Section 7 of this Agreement, including without limitation, following the termination of the 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8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left="2100" w:hanging="815"/>
        <w:spacing w:after="0"/>
        <w:tabs>
          <w:tab w:leader="none" w:pos="21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20" w:lineRule="exact"/>
        <w:rPr>
          <w:sz w:val="20"/>
          <w:szCs w:val="20"/>
          <w:color w:val="auto"/>
        </w:rPr>
      </w:pPr>
    </w:p>
    <w:p>
      <w:pPr>
        <w:ind w:left="-20" w:right="180" w:firstLine="1305"/>
        <w:spacing w:after="0" w:line="263" w:lineRule="auto"/>
        <w:tabs>
          <w:tab w:leader="none" w:pos="1732" w:val="left"/>
        </w:tabs>
        <w:numPr>
          <w:ilvl w:val="0"/>
          <w:numId w:val="78"/>
        </w:numPr>
        <w:rPr>
          <w:rFonts w:ascii="Arial" w:cs="Arial" w:eastAsia="Arial" w:hAnsi="Arial"/>
          <w:sz w:val="21"/>
          <w:szCs w:val="21"/>
          <w:color w:val="auto"/>
        </w:rPr>
      </w:pPr>
      <w:r>
        <w:rPr>
          <w:rFonts w:ascii="Arial" w:cs="Arial" w:eastAsia="Arial" w:hAnsi="Arial"/>
          <w:sz w:val="21"/>
          <w:szCs w:val="21"/>
          <w:color w:val="auto"/>
        </w:rPr>
        <w:t>Grantee’s Employment may be terminated at any time by the Company or, if different, any subsidiary or Affiliate of the Company that is the Grantee’s employer (the “</w:t>
      </w:r>
      <w:r>
        <w:rPr>
          <w:rFonts w:ascii="Arial" w:cs="Arial" w:eastAsia="Arial" w:hAnsi="Arial"/>
          <w:sz w:val="21"/>
          <w:szCs w:val="21"/>
          <w:u w:val="single" w:color="auto"/>
          <w:color w:val="auto"/>
        </w:rPr>
        <w:t>Grantee’s employer</w:t>
      </w:r>
      <w:r>
        <w:rPr>
          <w:rFonts w:ascii="Arial" w:cs="Arial" w:eastAsia="Arial" w:hAnsi="Arial"/>
          <w:sz w:val="21"/>
          <w:szCs w:val="21"/>
          <w:color w:val="auto"/>
        </w:rPr>
        <w:t xml:space="preserve">”), or by the Grantee; </w:t>
      </w:r>
      <w:r>
        <w:rPr>
          <w:rFonts w:ascii="Arial" w:cs="Arial" w:eastAsia="Arial" w:hAnsi="Arial"/>
          <w:sz w:val="21"/>
          <w:szCs w:val="21"/>
          <w:u w:val="single" w:color="auto"/>
          <w:color w:val="auto"/>
        </w:rPr>
        <w:t>provided that</w:t>
      </w:r>
      <w:r>
        <w:rPr>
          <w:rFonts w:ascii="Arial" w:cs="Arial" w:eastAsia="Arial" w:hAnsi="Arial"/>
          <w:sz w:val="21"/>
          <w:szCs w:val="21"/>
          <w:color w:val="auto"/>
        </w:rPr>
        <w:t>, the Grantee (but not the Company or, if different, the Grantee’s employer) shall be required to provide at least six (6) months advance written notice of such termination. For the avoidance of doubt, for purposes of Section 7 of this Agreement, termination of Employment shall be deemed to occur upon delivery of notice of termination by the Grantee.</w:t>
      </w:r>
    </w:p>
    <w:p>
      <w:pPr>
        <w:spacing w:after="0" w:line="175" w:lineRule="exact"/>
        <w:rPr>
          <w:rFonts w:ascii="Arial" w:cs="Arial" w:eastAsia="Arial" w:hAnsi="Arial"/>
          <w:sz w:val="21"/>
          <w:szCs w:val="21"/>
          <w:color w:val="auto"/>
        </w:rPr>
      </w:pPr>
    </w:p>
    <w:p>
      <w:pPr>
        <w:ind w:left="-20" w:right="20" w:firstLine="1305"/>
        <w:spacing w:after="0" w:line="261" w:lineRule="auto"/>
        <w:tabs>
          <w:tab w:leader="none" w:pos="1741" w:val="left"/>
        </w:tabs>
        <w:numPr>
          <w:ilvl w:val="0"/>
          <w:numId w:val="78"/>
        </w:numPr>
        <w:rPr>
          <w:rFonts w:ascii="Arial" w:cs="Arial" w:eastAsia="Arial" w:hAnsi="Arial"/>
          <w:sz w:val="21"/>
          <w:szCs w:val="21"/>
          <w:color w:val="auto"/>
        </w:rPr>
      </w:pPr>
      <w:r>
        <w:rPr>
          <w:rFonts w:ascii="Arial" w:cs="Arial" w:eastAsia="Arial" w:hAnsi="Arial"/>
          <w:sz w:val="21"/>
          <w:szCs w:val="21"/>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591" w:right="25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under the policies of the Company or any subsidiary or Affiliate thereof.</w:t>
      </w:r>
    </w:p>
    <w:p>
      <w:pPr>
        <w:spacing w:after="0" w:line="220" w:lineRule="exact"/>
        <w:rPr>
          <w:sz w:val="20"/>
          <w:szCs w:val="20"/>
          <w:color w:val="auto"/>
        </w:rPr>
      </w:pPr>
    </w:p>
    <w:p>
      <w:pPr>
        <w:jc w:val="both"/>
        <w:ind w:right="20" w:firstLine="1305"/>
        <w:spacing w:after="0" w:line="250" w:lineRule="auto"/>
        <w:tabs>
          <w:tab w:leader="none" w:pos="1752"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9 and clauses (a) and (b) of this Section 9 shall not be taken to amend the related terms of such employment agreement.</w:t>
      </w:r>
    </w:p>
    <w:p>
      <w:pPr>
        <w:spacing w:after="0" w:line="188" w:lineRule="exact"/>
        <w:rPr>
          <w:rFonts w:ascii="Arial" w:cs="Arial" w:eastAsia="Arial" w:hAnsi="Arial"/>
          <w:sz w:val="22"/>
          <w:szCs w:val="22"/>
          <w:color w:val="auto"/>
        </w:rPr>
      </w:pPr>
    </w:p>
    <w:p>
      <w:pPr>
        <w:ind w:right="140" w:firstLine="1305"/>
        <w:spacing w:after="0" w:line="312" w:lineRule="auto"/>
        <w:tabs>
          <w:tab w:leader="none" w:pos="1765"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34" w:lineRule="exact"/>
        <w:rPr>
          <w:sz w:val="20"/>
          <w:szCs w:val="20"/>
          <w:color w:val="auto"/>
        </w:rPr>
      </w:pPr>
    </w:p>
    <w:p>
      <w:pPr>
        <w:ind w:firstLine="1305"/>
        <w:spacing w:after="0" w:line="271" w:lineRule="auto"/>
        <w:tabs>
          <w:tab w:leader="none" w:pos="2215"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In exchange for the consideration herein, the Grantee agrees that he/she will not make any disparaging, derogatory, damaging, and/or critical statements concerning the Company or any subsidiaries or any of their respective affiliates, partners, officers, directors, employees, services, products and/or activities.</w:t>
      </w:r>
    </w:p>
    <w:p>
      <w:pPr>
        <w:spacing w:after="0" w:line="208" w:lineRule="exact"/>
        <w:rPr>
          <w:rFonts w:ascii="Arial" w:cs="Arial" w:eastAsia="Arial" w:hAnsi="Arial"/>
          <w:sz w:val="21"/>
          <w:szCs w:val="21"/>
          <w:color w:val="auto"/>
        </w:rPr>
      </w:pPr>
    </w:p>
    <w:p>
      <w:pPr>
        <w:ind w:left="2220" w:hanging="915"/>
        <w:spacing w:after="0"/>
        <w:tabs>
          <w:tab w:leader="none" w:pos="22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20" w:lineRule="exact"/>
        <w:rPr>
          <w:sz w:val="20"/>
          <w:szCs w:val="20"/>
          <w:color w:val="auto"/>
        </w:rPr>
      </w:pPr>
    </w:p>
    <w:p>
      <w:pPr>
        <w:ind w:firstLine="1305"/>
        <w:spacing w:after="0" w:line="270" w:lineRule="auto"/>
        <w:tabs>
          <w:tab w:leader="none" w:pos="1716"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69" w:lineRule="exact"/>
        <w:rPr>
          <w:rFonts w:ascii="Arial" w:cs="Arial" w:eastAsia="Arial" w:hAnsi="Arial"/>
          <w:sz w:val="21"/>
          <w:szCs w:val="21"/>
          <w:color w:val="auto"/>
        </w:rPr>
      </w:pPr>
    </w:p>
    <w:p>
      <w:pPr>
        <w:ind w:right="160" w:firstLine="1305"/>
        <w:spacing w:after="0" w:line="254" w:lineRule="auto"/>
        <w:tabs>
          <w:tab w:leader="none" w:pos="172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7, 8, 9, 12, 13 and 14 of this Agreement. This right is subject to (i) the rights of the parties hereto to rescind or vary this Agreement without the consent of any such subsidiary or Affiliate and (ii) the other terms and conditions of this Agreement and the Plan.</w:t>
      </w:r>
    </w:p>
    <w:p>
      <w:pPr>
        <w:spacing w:after="0" w:line="185" w:lineRule="exact"/>
        <w:rPr>
          <w:sz w:val="20"/>
          <w:szCs w:val="20"/>
          <w:color w:val="auto"/>
        </w:rPr>
      </w:pPr>
    </w:p>
    <w:p>
      <w:pPr>
        <w:ind w:firstLine="1305"/>
        <w:spacing w:after="0" w:line="294" w:lineRule="auto"/>
        <w:tabs>
          <w:tab w:leader="none" w:pos="221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0" w:lineRule="exact"/>
        <w:rPr>
          <w:rFonts w:ascii="Arial" w:cs="Arial" w:eastAsia="Arial" w:hAnsi="Arial"/>
          <w:sz w:val="19"/>
          <w:szCs w:val="19"/>
          <w:color w:val="auto"/>
        </w:rPr>
      </w:pPr>
    </w:p>
    <w:p>
      <w:pPr>
        <w:ind w:right="40" w:firstLine="1305"/>
        <w:spacing w:after="0" w:line="259" w:lineRule="auto"/>
        <w:tabs>
          <w:tab w:leader="none" w:pos="2215"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To the extent permitted by law, the Company, the Grantee’s employer or their agents shall have the right to withhold or deduct from any distributions (including any Shares acquired or otherwise deliverable and the payment of other amounts with respect to the Units) or payments to the Grantee the minimum amount of taxes and any social security contributions required to be withheld or deducted by federal, state or local governments.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1" w:right="259" w:bottom="1440" w:gutter="0" w:footer="0" w:header="0"/>
        </w:sectPr>
      </w:pPr>
    </w:p>
    <w:bookmarkStart w:id="97" w:name="page98"/>
    <w:bookmarkEnd w:id="97"/>
    <w:p>
      <w:pPr>
        <w:ind w:right="80"/>
        <w:spacing w:after="0" w:line="302" w:lineRule="auto"/>
        <w:rPr>
          <w:sz w:val="20"/>
          <w:szCs w:val="20"/>
          <w:color w:val="auto"/>
        </w:rPr>
      </w:pPr>
      <w:r>
        <w:rPr>
          <w:rFonts w:ascii="Arial" w:cs="Arial" w:eastAsia="Arial" w:hAnsi="Arial"/>
          <w:sz w:val="19"/>
          <w:szCs w:val="19"/>
          <w:color w:val="auto"/>
        </w:rPr>
        <w:t>payment hereunder) the minimum amount of taxes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143" w:lineRule="exact"/>
        <w:rPr>
          <w:sz w:val="20"/>
          <w:szCs w:val="20"/>
          <w:color w:val="auto"/>
        </w:rPr>
      </w:pPr>
    </w:p>
    <w:p>
      <w:pPr>
        <w:ind w:left="2220" w:hanging="915"/>
        <w:spacing w:after="0"/>
        <w:tabs>
          <w:tab w:leader="none" w:pos="222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ind w:left="2200" w:hanging="895"/>
        <w:spacing w:after="0"/>
        <w:tabs>
          <w:tab w:leader="none" w:pos="22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Units are subject to adjustment in accordance with the provisions of Section 7 of the Plan.</w:t>
      </w:r>
    </w:p>
    <w:p>
      <w:pPr>
        <w:spacing w:after="0" w:line="260" w:lineRule="exact"/>
        <w:rPr>
          <w:rFonts w:ascii="Arial" w:cs="Arial" w:eastAsia="Arial" w:hAnsi="Arial"/>
          <w:sz w:val="22"/>
          <w:szCs w:val="22"/>
          <w:color w:val="auto"/>
        </w:rPr>
      </w:pPr>
    </w:p>
    <w:p>
      <w:pPr>
        <w:ind w:right="120" w:firstLine="1305"/>
        <w:spacing w:after="0" w:line="246" w:lineRule="auto"/>
        <w:tabs>
          <w:tab w:leader="none" w:pos="2197"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shall maintain an account on its books in the name of the Grantee which shall reflect the number of Units awarded to the Grantee and the number of Shares the Grantee is eligible to receive thereunder. The Grantee acknowledges and agrees that the Company (i) may hold all vested Units and all Shares issued and distributed in respect thereof pursuant to this Award on behalf of the Grantee, until such time as the Grantee submits a request for delivery, and (ii) will exercise voting rights and take all other corporate actions for any Shares issued pursuant to this Award for such time as such Shares may be held by the Company on behalf of the Grantee, unless the Grantee provides written notice to the Human Resources Department to the contrary.</w:t>
      </w:r>
    </w:p>
    <w:p>
      <w:pPr>
        <w:spacing w:after="0" w:line="237" w:lineRule="exact"/>
        <w:rPr>
          <w:rFonts w:ascii="Arial" w:cs="Arial" w:eastAsia="Arial" w:hAnsi="Arial"/>
          <w:sz w:val="22"/>
          <w:szCs w:val="22"/>
          <w:color w:val="auto"/>
        </w:rPr>
      </w:pPr>
    </w:p>
    <w:p>
      <w:pPr>
        <w:ind w:right="560" w:firstLine="1305"/>
        <w:spacing w:after="0" w:line="253" w:lineRule="auto"/>
        <w:tabs>
          <w:tab w:leader="none" w:pos="21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226" w:lineRule="exact"/>
        <w:rPr>
          <w:rFonts w:ascii="Arial" w:cs="Arial" w:eastAsia="Arial" w:hAnsi="Arial"/>
          <w:sz w:val="22"/>
          <w:szCs w:val="22"/>
          <w:color w:val="auto"/>
        </w:rPr>
      </w:pPr>
    </w:p>
    <w:p>
      <w:pPr>
        <w:ind w:right="40" w:firstLine="1305"/>
        <w:spacing w:after="0" w:line="258" w:lineRule="auto"/>
        <w:tabs>
          <w:tab w:leader="none" w:pos="2197"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186" w:lineRule="exact"/>
        <w:rPr>
          <w:rFonts w:ascii="Arial" w:cs="Arial" w:eastAsia="Arial" w:hAnsi="Arial"/>
          <w:sz w:val="21"/>
          <w:szCs w:val="21"/>
          <w:color w:val="auto"/>
        </w:rPr>
      </w:pPr>
    </w:p>
    <w:p>
      <w:pPr>
        <w:ind w:firstLine="1305"/>
        <w:spacing w:after="0" w:line="247" w:lineRule="auto"/>
        <w:tabs>
          <w:tab w:leader="none" w:pos="21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 the terms of this Section 14(e) and the Grantee’s terms of employment, this Section 14(e) shall take precedence (except as required by applicable legislation).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98" w:name="page99"/>
    <w:bookmarkEnd w:id="98"/>
    <w:p>
      <w:pPr>
        <w:ind w:right="20" w:firstLine="1305"/>
        <w:spacing w:after="0" w:line="271" w:lineRule="auto"/>
        <w:tabs>
          <w:tab w:leader="none" w:pos="2161" w:val="left"/>
        </w:tabs>
        <w:numPr>
          <w:ilvl w:val="0"/>
          <w:numId w:val="85"/>
        </w:numPr>
        <w:rPr>
          <w:rFonts w:ascii="Arial" w:cs="Arial" w:eastAsia="Arial" w:hAnsi="Arial"/>
          <w:sz w:val="21"/>
          <w:szCs w:val="21"/>
          <w:color w:val="auto"/>
        </w:rPr>
      </w:pPr>
      <w:r>
        <w:rPr>
          <w:rFonts w:ascii="Arial" w:cs="Arial" w:eastAsia="Arial" w:hAnsi="Arial"/>
          <w:sz w:val="21"/>
          <w:szCs w:val="21"/>
          <w:color w:val="auto"/>
        </w:rPr>
        <w:t>Pursuant to Section 10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208" w:lineRule="exact"/>
        <w:rPr>
          <w:rFonts w:ascii="Arial" w:cs="Arial" w:eastAsia="Arial" w:hAnsi="Arial"/>
          <w:sz w:val="21"/>
          <w:szCs w:val="21"/>
          <w:color w:val="auto"/>
        </w:rPr>
      </w:pPr>
    </w:p>
    <w:p>
      <w:pPr>
        <w:ind w:firstLine="1305"/>
        <w:spacing w:after="0" w:line="290" w:lineRule="auto"/>
        <w:tabs>
          <w:tab w:leader="none" w:pos="2197"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97" w:lineRule="exact"/>
        <w:rPr>
          <w:rFonts w:ascii="Arial" w:cs="Arial" w:eastAsia="Arial" w:hAnsi="Arial"/>
          <w:sz w:val="19"/>
          <w:szCs w:val="19"/>
          <w:color w:val="auto"/>
        </w:rPr>
      </w:pPr>
    </w:p>
    <w:p>
      <w:pPr>
        <w:ind w:firstLine="1305"/>
        <w:spacing w:after="0" w:line="258" w:lineRule="auto"/>
        <w:tabs>
          <w:tab w:leader="none" w:pos="2197"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7(a)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226" w:lineRule="exact"/>
        <w:rPr>
          <w:rFonts w:ascii="Arial" w:cs="Arial" w:eastAsia="Arial" w:hAnsi="Arial"/>
          <w:sz w:val="21"/>
          <w:szCs w:val="21"/>
          <w:color w:val="auto"/>
        </w:rPr>
      </w:pPr>
    </w:p>
    <w:p>
      <w:pPr>
        <w:jc w:val="both"/>
        <w:ind w:right="220" w:firstLine="1305"/>
        <w:spacing w:after="0" w:line="288" w:lineRule="auto"/>
        <w:tabs>
          <w:tab w:leader="none" w:pos="2149"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7(a), thoroughly, is satisfied that he or she understands it completely, and agrees to be bound by the terms and conditions set forth herein. The Grantee understands that he or she has the right to consult an attorney before signing this Agreement.</w:t>
      </w:r>
    </w:p>
    <w:p>
      <w:pPr>
        <w:spacing w:after="0" w:line="1" w:lineRule="exact"/>
        <w:rPr>
          <w:rFonts w:ascii="Arial" w:cs="Arial" w:eastAsia="Arial" w:hAnsi="Arial"/>
          <w:sz w:val="19"/>
          <w:szCs w:val="19"/>
          <w:color w:val="auto"/>
        </w:rPr>
      </w:pPr>
    </w:p>
    <w:p>
      <w:pPr>
        <w:ind w:right="120"/>
        <w:spacing w:after="0" w:line="246" w:lineRule="auto"/>
        <w:rPr>
          <w:rFonts w:ascii="Arial" w:cs="Arial" w:eastAsia="Arial" w:hAnsi="Arial"/>
          <w:sz w:val="19"/>
          <w:szCs w:val="19"/>
          <w:color w:val="auto"/>
        </w:rPr>
      </w:pPr>
      <w:r>
        <w:rPr>
          <w:rFonts w:ascii="Arial" w:cs="Arial" w:eastAsia="Arial" w:hAnsi="Arial"/>
          <w:sz w:val="22"/>
          <w:szCs w:val="22"/>
          <w:color w:val="auto"/>
        </w:rPr>
        <w:t xml:space="preserve">Notwithstanding anything to the contrary herein, Section 7(a)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33" w:lineRule="exact"/>
        <w:rPr>
          <w:rFonts w:ascii="Arial" w:cs="Arial" w:eastAsia="Arial" w:hAnsi="Arial"/>
          <w:sz w:val="19"/>
          <w:szCs w:val="19"/>
          <w:color w:val="auto"/>
        </w:rPr>
      </w:pPr>
    </w:p>
    <w:p>
      <w:pPr>
        <w:ind w:right="1200" w:firstLine="1305"/>
        <w:spacing w:after="0" w:line="287" w:lineRule="auto"/>
        <w:tabs>
          <w:tab w:leader="none" w:pos="2149"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this Award shall be, and the Grantee hereby acknowledges that it is, subject to and governed by all the terms and conditions of the Plan.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91" w:right="279" w:bottom="1440" w:gutter="0" w:footer="0" w:header="0"/>
        </w:sectPr>
      </w:pPr>
    </w:p>
    <w:bookmarkStart w:id="99" w:name="page100"/>
    <w:bookmarkEnd w:id="99"/>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[RSU Award Agreement]</w:t>
      </w:r>
    </w:p>
    <w:p>
      <w:pPr>
        <w:sectPr>
          <w:pgSz w:w="11900" w:h="16838" w:orient="portrait"/>
          <w:cols w:equalWidth="0" w:num="1">
            <w:col w:w="10900"/>
          </w:cols>
          <w:pgMar w:left="240" w:top="847" w:right="7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AND INCENTIVE PLAN</w:t>
      </w:r>
    </w:p>
    <w:p>
      <w:pPr>
        <w:spacing w:after="0" w:line="24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Pursuant to the Affiliated Managers Group, Inc. stock option and incentive plan referred to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Plan</w:t>
      </w:r>
      <w:r>
        <w:rPr>
          <w:rFonts w:ascii="Arial" w:cs="Arial" w:eastAsia="Arial" w:hAnsi="Arial"/>
          <w:sz w:val="19"/>
          <w:szCs w:val="19"/>
          <w:color w:val="auto"/>
        </w:rPr>
        <w:t>”), and subject to the terms of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Affiliated Managers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optionee named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Optionee</w:t>
      </w:r>
      <w:r>
        <w:rPr>
          <w:rFonts w:ascii="Arial" w:cs="Arial" w:eastAsia="Arial" w:hAnsi="Arial"/>
          <w:sz w:val="19"/>
          <w:szCs w:val="19"/>
          <w:color w:val="auto"/>
        </w:rPr>
        <w:t>”) an option (the “</w:t>
      </w:r>
      <w:r>
        <w:rPr>
          <w:rFonts w:ascii="Arial" w:cs="Arial" w:eastAsia="Arial" w:hAnsi="Arial"/>
          <w:sz w:val="19"/>
          <w:szCs w:val="19"/>
          <w:u w:val="single" w:color="auto"/>
          <w:color w:val="auto"/>
        </w:rPr>
        <w:t>Stock Option</w:t>
      </w:r>
      <w:r>
        <w:rPr>
          <w:rFonts w:ascii="Arial" w:cs="Arial" w:eastAsia="Arial" w:hAnsi="Arial"/>
          <w:sz w:val="19"/>
          <w:szCs w:val="19"/>
          <w:color w:val="auto"/>
        </w:rPr>
        <w:t xml:space="preserve">”) to purchase on or prior to the Expiration Date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all or part of the number of shares of common stock, par value $0.01 per share, of the Company (such stock, the “</w:t>
      </w:r>
      <w:r>
        <w:rPr>
          <w:rFonts w:ascii="Arial" w:cs="Arial" w:eastAsia="Arial" w:hAnsi="Arial"/>
          <w:sz w:val="19"/>
          <w:szCs w:val="19"/>
          <w:u w:val="single" w:color="auto"/>
          <w:color w:val="auto"/>
        </w:rPr>
        <w:t>Stock</w:t>
      </w:r>
      <w:r>
        <w:rPr>
          <w:rFonts w:ascii="Arial" w:cs="Arial" w:eastAsia="Arial" w:hAnsi="Arial"/>
          <w:sz w:val="19"/>
          <w:szCs w:val="19"/>
          <w:color w:val="auto"/>
        </w:rPr>
        <w:t>,” and such shares, the “</w:t>
      </w:r>
      <w:r>
        <w:rPr>
          <w:rFonts w:ascii="Arial" w:cs="Arial" w:eastAsia="Arial" w:hAnsi="Arial"/>
          <w:sz w:val="19"/>
          <w:szCs w:val="19"/>
          <w:u w:val="single" w:color="auto"/>
          <w:color w:val="auto"/>
        </w:rPr>
        <w:t>Option Shares</w:t>
      </w:r>
      <w:r>
        <w:rPr>
          <w:rFonts w:ascii="Arial" w:cs="Arial" w:eastAsia="Arial" w:hAnsi="Arial"/>
          <w:sz w:val="19"/>
          <w:szCs w:val="19"/>
          <w:color w:val="auto"/>
        </w:rPr>
        <w:t xml:space="preserv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 the Option Exercise Price per Share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to be issued and distributed to the Optionee according to the terms set forth herein and in the Plan, and the vesting schedule and performance requirements (if any) set forth herein. This Stock Option is intended to be an “incentive stock option” within the meaning of Section 422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to the extent permitted by Section 5(a)(v) of the Plan and is granted to the Optionee in connection with the Optionee’s Employment by the Company or a “subsidiary” corporation of the Company, as such term is defined in Section 424 of the Code.</w:t>
      </w:r>
    </w:p>
    <w:p>
      <w:pPr>
        <w:spacing w:after="0" w:line="201" w:lineRule="exact"/>
        <w:rPr>
          <w:sz w:val="20"/>
          <w:szCs w:val="20"/>
          <w:color w:val="auto"/>
        </w:rPr>
      </w:pPr>
    </w:p>
    <w:p>
      <w:pPr>
        <w:ind w:left="2120" w:hanging="815"/>
        <w:spacing w:after="0"/>
        <w:tabs>
          <w:tab w:leader="none" w:pos="21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Vesting; Exercisability and Performance Measure</w:t>
      </w:r>
      <w:r>
        <w:rPr>
          <w:rFonts w:ascii="Arial" w:cs="Arial" w:eastAsia="Arial" w:hAnsi="Arial"/>
          <w:sz w:val="22"/>
          <w:szCs w:val="22"/>
          <w:color w:val="auto"/>
        </w:rPr>
        <w:t>.</w:t>
      </w:r>
    </w:p>
    <w:p>
      <w:pPr>
        <w:spacing w:after="0" w:line="260" w:lineRule="exact"/>
        <w:rPr>
          <w:sz w:val="20"/>
          <w:szCs w:val="20"/>
          <w:color w:val="auto"/>
        </w:rPr>
      </w:pPr>
    </w:p>
    <w:p>
      <w:pPr>
        <w:ind w:right="220" w:firstLine="1305"/>
        <w:spacing w:after="0" w:line="297" w:lineRule="auto"/>
        <w:tabs>
          <w:tab w:leader="none" w:pos="2185"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Except as set forth below, and subject to the discretion of the Administrator to accelerate the vesting schedule, this Stock Option shall become vested with respect to the number of Option Shares on the dates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Optionee’s Employment is through the applicable vesting date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In addition, if this Stock Option is subject to a Performance Measure (but not otherwise), Section 1(b) shall apply. For the avoidance of doubt, the vesting of this Stock Option may be accelerated automatically in certain circumstances described herein.</w:t>
      </w:r>
    </w:p>
    <w:p>
      <w:pPr>
        <w:spacing w:after="0" w:line="187" w:lineRule="exact"/>
        <w:rPr>
          <w:rFonts w:ascii="Arial" w:cs="Arial" w:eastAsia="Arial" w:hAnsi="Arial"/>
          <w:sz w:val="19"/>
          <w:szCs w:val="19"/>
          <w:color w:val="auto"/>
        </w:rPr>
      </w:pPr>
    </w:p>
    <w:p>
      <w:pPr>
        <w:ind w:right="60" w:firstLine="1305"/>
        <w:spacing w:after="0" w:line="287" w:lineRule="auto"/>
        <w:tabs>
          <w:tab w:leader="none" w:pos="2197"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Exercisability and Performance Measure</w:t>
      </w:r>
      <w:r>
        <w:rPr>
          <w:rFonts w:ascii="Arial" w:cs="Arial" w:eastAsia="Arial" w:hAnsi="Arial"/>
          <w:sz w:val="19"/>
          <w:szCs w:val="19"/>
          <w:color w:val="auto"/>
        </w:rPr>
        <w:t xml:space="preserve">. No portion of this Stock Option may be exercised unless such portion has vested. Further, if this Stock Option is subject to a Performance Measure (as defined herein), vested portions of this Stock Option shall be exercisable only if the Compensation Committee has certified the attainment of the Performance Measure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it being understood that if vesting of this Stock Option is accelerated pursuant to Sections 1(c)(y) or 4(a)(ii) hereof, such vested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this Stock Option (including any portion of this Stock Option that has vested pursuant to Sections 1(c)(y) or 4(a)(ii) hereof), this Stock Option shall terminate immediately and be of no further force or effect with respect to all of the Option Shares or such portion thereof, as applicable.</w:t>
      </w:r>
    </w:p>
    <w:p>
      <w:pPr>
        <w:spacing w:after="0" w:line="200" w:lineRule="exact"/>
        <w:rPr>
          <w:rFonts w:ascii="Arial" w:cs="Arial" w:eastAsia="Arial" w:hAnsi="Arial"/>
          <w:sz w:val="19"/>
          <w:szCs w:val="19"/>
          <w:color w:val="auto"/>
        </w:rPr>
      </w:pPr>
    </w:p>
    <w:p>
      <w:pPr>
        <w:ind w:right="320" w:firstLine="1305"/>
        <w:spacing w:after="0" w:line="253" w:lineRule="auto"/>
        <w:tabs>
          <w:tab w:leader="none" w:pos="2185"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Notwithstanding anything to the contrary herein or in the Plan, in the event of termination of the Optionee’s Employment (i) by the Company without Cause or (ii) by the Optionee for Good Reason, in either case occurring within the two-year period following a Change of</w:t>
      </w:r>
    </w:p>
    <w:p>
      <w:pPr>
        <w:sectPr>
          <w:pgSz w:w="11900" w:h="16838" w:orient="portrait"/>
          <w:cols w:equalWidth="0" w:num="1">
            <w:col w:w="11420"/>
          </w:cols>
          <w:pgMar w:left="240" w:top="625" w:right="239" w:bottom="1440" w:gutter="0" w:footer="0" w:header="0"/>
        </w:sectPr>
      </w:pPr>
    </w:p>
    <w:bookmarkStart w:id="101" w:name="page102"/>
    <w:bookmarkEnd w:id="101"/>
    <w:p>
      <w:pPr>
        <w:spacing w:after="0" w:line="287" w:lineRule="auto"/>
        <w:rPr>
          <w:sz w:val="20"/>
          <w:szCs w:val="20"/>
          <w:color w:val="auto"/>
        </w:rPr>
      </w:pPr>
      <w:r>
        <w:rPr>
          <w:rFonts w:ascii="Arial" w:cs="Arial" w:eastAsia="Arial" w:hAnsi="Arial"/>
          <w:sz w:val="19"/>
          <w:szCs w:val="19"/>
          <w:color w:val="auto"/>
        </w:rPr>
        <w:t xml:space="preserve">Control, this Stock Option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subject to a Performance Measure, this Stock Option shall only be exercisable pursuant to this Section 1(c) if (x)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or (y) the attainment of the Performance Measure is not yet determinable as of such date, and in such case shall fully vest at the time of such termination but the vested Stock Option shall remain subject to the attainment of the Performance Measure and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Stock Option (including any portion thereof that vested pursuant to sub-clause (y) above)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Stock Option shall terminate with respect to all of the Option Shares or such portion thereof, as applicable, in accordance with Section 1(b) hereof.)</w:t>
      </w:r>
    </w:p>
    <w:p>
      <w:pPr>
        <w:spacing w:after="0" w:line="201" w:lineRule="exact"/>
        <w:rPr>
          <w:sz w:val="20"/>
          <w:szCs w:val="20"/>
          <w:color w:val="auto"/>
        </w:rPr>
      </w:pPr>
    </w:p>
    <w:p>
      <w:pPr>
        <w:ind w:left="2120" w:hanging="815"/>
        <w:spacing w:after="0"/>
        <w:tabs>
          <w:tab w:leader="none" w:pos="21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60" w:lineRule="exact"/>
        <w:rPr>
          <w:sz w:val="20"/>
          <w:szCs w:val="20"/>
          <w:color w:val="auto"/>
        </w:rPr>
      </w:pPr>
    </w:p>
    <w:p>
      <w:pPr>
        <w:ind w:right="80" w:firstLine="1305"/>
        <w:spacing w:after="0" w:line="250" w:lineRule="auto"/>
        <w:tabs>
          <w:tab w:leader="none" w:pos="2185"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Chief Administrative Officer or General Counsel of his or her election to purchase some or all of the vested Option Shares purchasable at the time of such notice. Such notice shall specify the number of Option Shares to be purchased.</w:t>
      </w:r>
    </w:p>
    <w:p>
      <w:pPr>
        <w:spacing w:after="0" w:line="229" w:lineRule="exact"/>
        <w:rPr>
          <w:sz w:val="20"/>
          <w:szCs w:val="20"/>
          <w:color w:val="auto"/>
        </w:rPr>
      </w:pPr>
    </w:p>
    <w:p>
      <w:pPr>
        <w:ind w:right="100" w:firstLine="648"/>
        <w:spacing w:after="0" w:line="245" w:lineRule="auto"/>
        <w:rPr>
          <w:sz w:val="20"/>
          <w:szCs w:val="20"/>
          <w:color w:val="auto"/>
        </w:rPr>
      </w:pPr>
      <w:r>
        <w:rPr>
          <w:rFonts w:ascii="Arial" w:cs="Arial" w:eastAsia="Arial" w:hAnsi="Arial"/>
          <w:sz w:val="22"/>
          <w:szCs w:val="22"/>
          <w:color w:val="auto"/>
        </w:rPr>
        <w:t xml:space="preserve">Payment of the purchase price for the Option Shares may be made by one or more of the following methods: (i) in cash, by certified or bank check or other instrument acceptable to the Administrator; (ii) in the form of shares of Stock that are not then subject to restrictions under any Company plan and that have been held by the Optionee for at least six (6) months; (iii) by the Optionee delivering to the Company a properly executed exercise notice together with irrevocable instructions to a broker to promptly deliver to the Company cash or a check payable and acceptable to the Company to pay the option purchase price; </w:t>
      </w:r>
      <w:r>
        <w:rPr>
          <w:rFonts w:ascii="Arial" w:cs="Arial" w:eastAsia="Arial" w:hAnsi="Arial"/>
          <w:sz w:val="22"/>
          <w:szCs w:val="22"/>
          <w:u w:val="single" w:color="auto"/>
          <w:color w:val="auto"/>
        </w:rPr>
        <w:t>provided that</w:t>
      </w:r>
      <w:r>
        <w:rPr>
          <w:rFonts w:ascii="Arial" w:cs="Arial" w:eastAsia="Arial" w:hAnsi="Arial"/>
          <w:sz w:val="22"/>
          <w:szCs w:val="22"/>
          <w:color w:val="auto"/>
        </w:rPr>
        <w: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and shall comply with all applicable laws, which laws may in certain cases restrict the availability of this method; or (iv) a combination of (i), (ii), and (iii) above. Payment instruments will be received subject to collection.</w:t>
      </w:r>
    </w:p>
    <w:p>
      <w:pPr>
        <w:spacing w:after="0" w:line="240" w:lineRule="exact"/>
        <w:rPr>
          <w:sz w:val="20"/>
          <w:szCs w:val="20"/>
          <w:color w:val="auto"/>
        </w:rPr>
      </w:pPr>
    </w:p>
    <w:p>
      <w:pPr>
        <w:ind w:right="600" w:firstLine="648"/>
        <w:spacing w:after="0" w:line="253" w:lineRule="auto"/>
        <w:rPr>
          <w:sz w:val="20"/>
          <w:szCs w:val="20"/>
          <w:color w:val="auto"/>
        </w:rPr>
      </w:pPr>
      <w:r>
        <w:rPr>
          <w:rFonts w:ascii="Arial" w:cs="Arial" w:eastAsia="Arial" w:hAnsi="Arial"/>
          <w:sz w:val="22"/>
          <w:szCs w:val="22"/>
          <w:color w:val="auto"/>
        </w:rPr>
        <w:t>Stock Option exercises and any sales of Option Shares will be subject to the Company’s insider trading policy, equity ownership guidelines and other Company policies as may be in effect from time to time or otherwise established by the Administrator.</w:t>
      </w:r>
    </w:p>
    <w:p>
      <w:pPr>
        <w:spacing w:after="0" w:line="226" w:lineRule="exact"/>
        <w:rPr>
          <w:sz w:val="20"/>
          <w:szCs w:val="20"/>
          <w:color w:val="auto"/>
        </w:rPr>
      </w:pPr>
    </w:p>
    <w:p>
      <w:pPr>
        <w:ind w:firstLine="1305"/>
        <w:spacing w:after="0" w:line="260" w:lineRule="auto"/>
        <w:tabs>
          <w:tab w:leader="none" w:pos="2197"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issuance of Stock representing the Option Shares will be contingent upon the Company’s receipt from the Optionee of full payment for the Option Shares, as set forth above, and any agreement, statement or other evidence that the Company and/or the Administrator may require to satisfy itself that the issuance of Stock to be purchased pursuant to the exercise of this Stock Option and any subsequent resale of the shares of Stock will be in compliance with all applicable laws and regulations and with the requirements hereof and of the Plan. The determination of the Administrator as to such compliance shall be final and binding on the Optionee. The Optionee is not entitled to vote any shares of Stock subject to this Stock Option by reason of the granting of this Stock Option or to receive or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102" w:name="page103"/>
    <w:bookmarkEnd w:id="102"/>
    <w:p>
      <w:pPr>
        <w:spacing w:after="0" w:line="260" w:lineRule="auto"/>
        <w:rPr>
          <w:sz w:val="20"/>
          <w:szCs w:val="20"/>
          <w:color w:val="auto"/>
        </w:rPr>
      </w:pPr>
      <w:r>
        <w:rPr>
          <w:rFonts w:ascii="Arial" w:cs="Arial" w:eastAsia="Arial" w:hAnsi="Arial"/>
          <w:sz w:val="21"/>
          <w:szCs w:val="21"/>
          <w:color w:val="auto"/>
        </w:rPr>
        <w:t>credited with any dividends declared and payable on such shares prior to the payment date with respect to the Option Shares, subject to clause (c) below. This Stock Option shall not be interpreted to bestow upon the Optionee any equity interest or ownership in the Company or any subsidiary or Affiliate, and the Optionee shall not be deemed to be the holder of, or to have any of the rights of a holder with respect to, any shares of Stock subject to this Stock Option unless and until this Stock Option shall have been exercised pursuant to the terms hereof and of the Plan, and the Optionee’s name shall have been entered as the stockholder of record on the books of the Company. Thereupon, the Optionee shall have full voting, dividend and other ownership rights with respect to such shares of Stock, subject to clause (c) below.</w:t>
      </w:r>
    </w:p>
    <w:p>
      <w:pPr>
        <w:spacing w:after="0" w:line="222" w:lineRule="exact"/>
        <w:rPr>
          <w:sz w:val="20"/>
          <w:szCs w:val="20"/>
          <w:color w:val="auto"/>
        </w:rPr>
      </w:pPr>
    </w:p>
    <w:p>
      <w:pPr>
        <w:ind w:firstLine="1305"/>
        <w:spacing w:after="0" w:line="292" w:lineRule="auto"/>
        <w:tabs>
          <w:tab w:leader="none" w:pos="218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Company shall maintain an account on its books in the name of the Optionee which shall reflect this Stock Option and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The Optionee acknowledges and agrees that, upon exercise of all or any portion of this Stock Option in accordance with the terms of this Agreement, the Company (i) will enter the Optionee’s name as a stockholder of record on the books of the Company, (ii) may hold all Option Shares on behalf of the Optionee, until such time as the Optionee submits a request for delivery, and (iii) will exercise voting rights and take all other corporate actions for such Option Shares for such time as such Option Shares may be held by the Company on behalf of the Optionee, unless the Optionee provides written notice to the Human Resources Department to the contrary.</w:t>
      </w:r>
    </w:p>
    <w:p>
      <w:pPr>
        <w:spacing w:after="0" w:line="192" w:lineRule="exact"/>
        <w:rPr>
          <w:rFonts w:ascii="Arial" w:cs="Arial" w:eastAsia="Arial" w:hAnsi="Arial"/>
          <w:sz w:val="19"/>
          <w:szCs w:val="19"/>
          <w:color w:val="auto"/>
        </w:rPr>
      </w:pPr>
    </w:p>
    <w:p>
      <w:pPr>
        <w:ind w:right="20" w:firstLine="1305"/>
        <w:spacing w:after="0" w:line="250" w:lineRule="auto"/>
        <w:tabs>
          <w:tab w:leader="none" w:pos="219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that may be exercised under this Stock Option at the time or unless otherwise permitted by the Human Resources Department.</w:t>
      </w:r>
    </w:p>
    <w:p>
      <w:pPr>
        <w:spacing w:after="0" w:line="228" w:lineRule="exact"/>
        <w:rPr>
          <w:rFonts w:ascii="Arial" w:cs="Arial" w:eastAsia="Arial" w:hAnsi="Arial"/>
          <w:sz w:val="22"/>
          <w:szCs w:val="22"/>
          <w:color w:val="auto"/>
        </w:rPr>
      </w:pPr>
    </w:p>
    <w:p>
      <w:pPr>
        <w:ind w:right="240" w:firstLine="1305"/>
        <w:spacing w:after="0" w:line="253" w:lineRule="auto"/>
        <w:tabs>
          <w:tab w:leader="none" w:pos="21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 For the avoidance of doubt, any portion of this Stock Option that is not exercised by the Expiration Date will thereupon immediately terminate.</w:t>
      </w:r>
    </w:p>
    <w:p>
      <w:pPr>
        <w:spacing w:after="0" w:line="226" w:lineRule="exact"/>
        <w:rPr>
          <w:sz w:val="20"/>
          <w:szCs w:val="20"/>
          <w:color w:val="auto"/>
        </w:rPr>
      </w:pPr>
    </w:p>
    <w:p>
      <w:pPr>
        <w:ind w:right="100" w:firstLine="1305"/>
        <w:spacing w:after="0" w:line="253" w:lineRule="auto"/>
        <w:tabs>
          <w:tab w:leader="none" w:pos="2107"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226" w:lineRule="exact"/>
        <w:rPr>
          <w:sz w:val="20"/>
          <w:szCs w:val="20"/>
          <w:color w:val="auto"/>
        </w:rPr>
      </w:pPr>
    </w:p>
    <w:p>
      <w:pPr>
        <w:ind w:left="2200" w:hanging="895"/>
        <w:spacing w:after="0"/>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60" w:lineRule="exact"/>
        <w:rPr>
          <w:rFonts w:ascii="Arial" w:cs="Arial" w:eastAsia="Arial" w:hAnsi="Arial"/>
          <w:sz w:val="22"/>
          <w:szCs w:val="22"/>
          <w:color w:val="auto"/>
        </w:rPr>
      </w:pPr>
    </w:p>
    <w:p>
      <w:pPr>
        <w:jc w:val="both"/>
        <w:ind w:right="460" w:firstLine="1953"/>
        <w:spacing w:after="0" w:line="312" w:lineRule="auto"/>
        <w:tabs>
          <w:tab w:leader="none" w:pos="2797"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Optionee’s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4" w:lineRule="exact"/>
        <w:rPr>
          <w:rFonts w:ascii="Arial" w:cs="Arial" w:eastAsia="Arial" w:hAnsi="Arial"/>
          <w:sz w:val="19"/>
          <w:szCs w:val="19"/>
          <w:color w:val="auto"/>
        </w:rPr>
      </w:pPr>
    </w:p>
    <w:p>
      <w:pPr>
        <w:ind w:left="2860" w:hanging="907"/>
        <w:spacing w:after="0"/>
        <w:tabs>
          <w:tab w:leader="none" w:pos="2860"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Optionee’s willful or grossly negligent failure to perform duties owed to the Company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42" w:lineRule="exact"/>
        <w:rPr>
          <w:rFonts w:ascii="Arial" w:cs="Arial" w:eastAsia="Arial" w:hAnsi="Arial"/>
          <w:sz w:val="19"/>
          <w:szCs w:val="19"/>
          <w:color w:val="auto"/>
        </w:rPr>
      </w:pPr>
    </w:p>
    <w:p>
      <w:pPr>
        <w:jc w:val="both"/>
        <w:ind w:right="300" w:firstLine="1953"/>
        <w:spacing w:after="0" w:line="253" w:lineRule="auto"/>
        <w:tabs>
          <w:tab w:leader="none" w:pos="2917"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Optionee’s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226" w:lineRule="exact"/>
        <w:rPr>
          <w:rFonts w:ascii="Arial" w:cs="Arial" w:eastAsia="Arial" w:hAnsi="Arial"/>
          <w:sz w:val="22"/>
          <w:szCs w:val="22"/>
          <w:color w:val="auto"/>
        </w:rPr>
      </w:pPr>
    </w:p>
    <w:p>
      <w:pPr>
        <w:ind w:right="460" w:firstLine="1953"/>
        <w:spacing w:after="0" w:line="263" w:lineRule="auto"/>
        <w:tabs>
          <w:tab w:leader="none" w:pos="2905"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Optionee’s willful violation of any Company policy or any applicable policy of any of its subsidiaries or Affiliates concerning confidential or proprietary information, or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103" w:name="page104"/>
    <w:bookmarkEnd w:id="103"/>
    <w:p>
      <w:pPr>
        <w:ind w:right="140"/>
        <w:spacing w:after="0" w:line="263" w:lineRule="auto"/>
        <w:rPr>
          <w:sz w:val="20"/>
          <w:szCs w:val="20"/>
          <w:color w:val="auto"/>
        </w:rPr>
      </w:pPr>
      <w:r>
        <w:rPr>
          <w:rFonts w:ascii="Arial" w:cs="Arial" w:eastAsia="Arial" w:hAnsi="Arial"/>
          <w:sz w:val="22"/>
          <w:szCs w:val="22"/>
          <w:color w:val="auto"/>
        </w:rPr>
        <w:t>material violation of any other Company or applicable subsidiary or Affiliate policy or written agreement as in effect from time to time; and</w:t>
      </w:r>
    </w:p>
    <w:p>
      <w:pPr>
        <w:spacing w:after="0" w:line="215" w:lineRule="exact"/>
        <w:rPr>
          <w:sz w:val="20"/>
          <w:szCs w:val="20"/>
          <w:color w:val="auto"/>
        </w:rPr>
      </w:pPr>
    </w:p>
    <w:p>
      <w:pPr>
        <w:ind w:right="120" w:firstLine="1953"/>
        <w:spacing w:after="0" w:line="260" w:lineRule="auto"/>
        <w:tabs>
          <w:tab w:leader="none" w:pos="2845" w:val="left"/>
        </w:tabs>
        <w:numPr>
          <w:ilvl w:val="0"/>
          <w:numId w:val="94"/>
        </w:numPr>
        <w:rPr>
          <w:rFonts w:ascii="Arial" w:cs="Arial" w:eastAsia="Arial" w:hAnsi="Arial"/>
          <w:sz w:val="21"/>
          <w:szCs w:val="21"/>
          <w:color w:val="auto"/>
        </w:rPr>
      </w:pPr>
      <w:r>
        <w:rPr>
          <w:rFonts w:ascii="Arial" w:cs="Arial" w:eastAsia="Arial" w:hAnsi="Arial"/>
          <w:sz w:val="21"/>
          <w:szCs w:val="21"/>
          <w:color w:val="auto"/>
        </w:rPr>
        <w:t>for purposes of Section 5(a), “Cause” also means the occurrence of any of the following, as determined by the Company: (a) the Optionee’s performance of his or her duties and responsibilities to the Company or its subsidiaries or Affiliates, as applicable, in a manner deemed by the Company to be in any way unsatisfactory and/or inconsistent with the needs of the business; (b) the Optionee’s breach of this Agreement or any other agreement between the Optionee and the Company or any of its subsidiaries or Affiliates; or (c) the Optionee’s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222" w:lineRule="exact"/>
        <w:rPr>
          <w:sz w:val="20"/>
          <w:szCs w:val="20"/>
          <w:color w:val="auto"/>
        </w:rPr>
      </w:pPr>
    </w:p>
    <w:p>
      <w:pPr>
        <w:ind w:right="220"/>
        <w:spacing w:after="0" w:line="289" w:lineRule="auto"/>
        <w:rPr>
          <w:sz w:val="20"/>
          <w:szCs w:val="20"/>
          <w:color w:val="auto"/>
        </w:rPr>
      </w:pPr>
      <w:r>
        <w:rPr>
          <w:rFonts w:ascii="Arial" w:cs="Arial" w:eastAsia="Arial" w:hAnsi="Arial"/>
          <w:sz w:val="19"/>
          <w:szCs w:val="19"/>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Optionee’s termination of Employment for other than Cause, it is determined that the Optionee’s Employment could have been terminated for Cause, the Optionee’s Employment shall be deemed to have been terminated for Cause retroactively to the date the events giving rise to such Cause occurred. Notwithstanding the foregoing, if Optionee is party to an employment, severance-benefit, change of control or similar agreement with the Company that contains a definition of “Cause” (or a correlative term), such definition will apply (in the case of such Optionee for purposes of this Agreement) in lieu of Sections 3(a)(i)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3(a)(v) of the definition set forth above will always apply for purposes of this Agreement.</w:t>
      </w:r>
    </w:p>
    <w:p>
      <w:pPr>
        <w:spacing w:after="0" w:line="198" w:lineRule="exact"/>
        <w:rPr>
          <w:sz w:val="20"/>
          <w:szCs w:val="20"/>
          <w:color w:val="auto"/>
        </w:rPr>
      </w:pPr>
    </w:p>
    <w:p>
      <w:pPr>
        <w:ind w:left="2200" w:hanging="895"/>
        <w:spacing w:after="0"/>
        <w:tabs>
          <w:tab w:leader="none" w:pos="22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shall mean the occurrence of any one of the following events:</w:t>
      </w:r>
    </w:p>
    <w:p>
      <w:pPr>
        <w:spacing w:after="0" w:line="260" w:lineRule="exact"/>
        <w:rPr>
          <w:rFonts w:ascii="Arial" w:cs="Arial" w:eastAsia="Arial" w:hAnsi="Arial"/>
          <w:sz w:val="22"/>
          <w:szCs w:val="22"/>
          <w:color w:val="auto"/>
        </w:rPr>
      </w:pPr>
    </w:p>
    <w:p>
      <w:pPr>
        <w:ind w:right="40" w:firstLine="1953"/>
        <w:spacing w:after="0" w:line="259" w:lineRule="auto"/>
        <w:tabs>
          <w:tab w:leader="none" w:pos="2797" w:val="left"/>
        </w:tabs>
        <w:numPr>
          <w:ilvl w:val="1"/>
          <w:numId w:val="95"/>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(other than the Company, any of its Affiliates, or any trustee, fiduciary or other person or entity holding securities under any employee benefit plan or trust of the Company or any of its Affiliates),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twenty-five percent (25%) or more of the combined voting power of the Company’s then outstanding securities having the right to vote in an election of the Company’s Board of Directors (“</w:t>
      </w:r>
      <w:r>
        <w:rPr>
          <w:rFonts w:ascii="Arial" w:cs="Arial" w:eastAsia="Arial" w:hAnsi="Arial"/>
          <w:sz w:val="21"/>
          <w:szCs w:val="21"/>
          <w:u w:val="single" w:color="auto"/>
          <w:color w:val="auto"/>
        </w:rPr>
        <w:t>Voting Securities</w:t>
      </w:r>
      <w:r>
        <w:rPr>
          <w:rFonts w:ascii="Arial" w:cs="Arial" w:eastAsia="Arial" w:hAnsi="Arial"/>
          <w:sz w:val="21"/>
          <w:szCs w:val="21"/>
          <w:color w:val="auto"/>
        </w:rPr>
        <w:t>”) (in such case other than as a result of an acquisition of securities directly from the Company); or</w:t>
      </w:r>
    </w:p>
    <w:p>
      <w:pPr>
        <w:spacing w:after="0" w:line="224" w:lineRule="exact"/>
        <w:rPr>
          <w:rFonts w:ascii="Arial" w:cs="Arial" w:eastAsia="Arial" w:hAnsi="Arial"/>
          <w:sz w:val="21"/>
          <w:szCs w:val="21"/>
          <w:color w:val="auto"/>
        </w:rPr>
      </w:pPr>
    </w:p>
    <w:p>
      <w:pPr>
        <w:ind w:firstLine="1953"/>
        <w:spacing w:after="0" w:line="260" w:lineRule="auto"/>
        <w:tabs>
          <w:tab w:leader="none" w:pos="2857"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consummation of (x) any consolidation or merger of the Company where the stockholders of the Company, immediately prior to the consolidation or merger, would not, immediately after the consolidation or merger, beneficially own (as such term is defined in Rule 13d-3 under the Exchange Act), directly or indirectly, shares representing in the aggregate fifty percent (50%) or more of the voting shares of the corporation (or other business entity) issuing cash or securities in the consolidation or merger (or of its ultimate parent, if any), (y) any sale, lease, exchange or other transfer (in one transaction or a series of transactions contemplated or arranged by any party as a single plan) of all or substantially all of the assets of the Company or (z) the liquidation or dissolution of the Company.</w:t>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Notwithstanding the foregoing, a “Change of Control” shall not be deemed to have occurred for purposes of the foregoing subclause (i) solely as the result of an acquisition of securities by the Company which, by reducing the number of shares of Voting Securities outstanding, increases the proportionate number of</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104" w:name="page105"/>
    <w:bookmarkEnd w:id="104"/>
    <w:p>
      <w:pPr>
        <w:ind w:right="60"/>
        <w:spacing w:after="0" w:line="263" w:lineRule="auto"/>
        <w:rPr>
          <w:sz w:val="20"/>
          <w:szCs w:val="20"/>
          <w:color w:val="auto"/>
        </w:rPr>
      </w:pPr>
      <w:r>
        <w:rPr>
          <w:rFonts w:ascii="Arial" w:cs="Arial" w:eastAsia="Arial" w:hAnsi="Arial"/>
          <w:sz w:val="21"/>
          <w:szCs w:val="21"/>
          <w:color w:val="auto"/>
        </w:rPr>
        <w:t xml:space="preserve">shares of Voting Securities beneficially owned by any person to twenty-five percent (25%) or more of the combined voting power of all then outstanding Voting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“Change of Control” shall be deemed to have occurred for purposes of the foregoing subclause (i).</w:t>
      </w:r>
    </w:p>
    <w:p>
      <w:pPr>
        <w:spacing w:after="0" w:line="216" w:lineRule="exact"/>
        <w:rPr>
          <w:sz w:val="20"/>
          <w:szCs w:val="20"/>
          <w:color w:val="auto"/>
        </w:rPr>
      </w:pPr>
    </w:p>
    <w:p>
      <w:pPr>
        <w:ind w:left="2200" w:hanging="895"/>
        <w:spacing w:after="0"/>
        <w:tabs>
          <w:tab w:leader="none" w:pos="22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42" w:lineRule="exact"/>
        <w:rPr>
          <w:sz w:val="20"/>
          <w:szCs w:val="20"/>
          <w:color w:val="auto"/>
        </w:rPr>
      </w:pPr>
    </w:p>
    <w:p>
      <w:pPr>
        <w:ind w:firstLine="1953"/>
        <w:spacing w:after="0" w:line="294" w:lineRule="auto"/>
        <w:tabs>
          <w:tab w:leader="none" w:pos="279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are Affiliates of such Client and, to the extent known by the Optionee to have such connection with such Client (and the Optionee shall be deemed to have such knowledge if the Optionee would reasonably have been expected to have such knowledge in the ordinary course of the Optionee’s duties while the Optionee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90" w:lineRule="exact"/>
        <w:rPr>
          <w:rFonts w:ascii="Arial" w:cs="Arial" w:eastAsia="Arial" w:hAnsi="Arial"/>
          <w:sz w:val="19"/>
          <w:szCs w:val="19"/>
          <w:color w:val="auto"/>
        </w:rPr>
      </w:pPr>
    </w:p>
    <w:p>
      <w:pPr>
        <w:ind w:firstLine="1953"/>
        <w:spacing w:after="0" w:line="292" w:lineRule="auto"/>
        <w:tabs>
          <w:tab w:leader="none" w:pos="285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Optionee had knowledge of the identity of an investor therein while the Optionee was employed by the Company and its subsidiaries and Affiliates (and the Optionee shall be deemed to have had such knowledge if the Optionee would reasonably have been expected to have had such knowledge in the ordinary course of the Optionee’s duties while the Optionee was employed by the Company and its subsidiaries and Affiliates), in the case of any Fund, an investor therein shall not be deemed a Present Client or Past Client (as applicable) hereunder);</w:t>
      </w:r>
    </w:p>
    <w:p>
      <w:pPr>
        <w:spacing w:after="0" w:line="192" w:lineRule="exact"/>
        <w:rPr>
          <w:rFonts w:ascii="Arial" w:cs="Arial" w:eastAsia="Arial" w:hAnsi="Arial"/>
          <w:sz w:val="19"/>
          <w:szCs w:val="19"/>
          <w:color w:val="auto"/>
        </w:rPr>
      </w:pPr>
    </w:p>
    <w:p>
      <w:pPr>
        <w:ind w:firstLine="1953"/>
        <w:spacing w:after="0" w:line="297" w:lineRule="auto"/>
        <w:tabs>
          <w:tab w:leader="none" w:pos="2917"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Optionee to be such a beneficiary (and the Optionee shall be deemed to have had such knowledge if the Optionee would reasonably have been expected to have had such knowledge in the ordinary course of the Optionee’s duties while the Optionee was employed by the Company and its subsidiaries and Affiliates), any Person who is a beneficiary of such Client and the Affiliates and immediate family members of any such Persons;</w:t>
      </w:r>
    </w:p>
    <w:p>
      <w:pPr>
        <w:spacing w:after="0" w:line="187" w:lineRule="exact"/>
        <w:rPr>
          <w:rFonts w:ascii="Arial" w:cs="Arial" w:eastAsia="Arial" w:hAnsi="Arial"/>
          <w:sz w:val="19"/>
          <w:szCs w:val="19"/>
          <w:color w:val="auto"/>
        </w:rPr>
      </w:pPr>
    </w:p>
    <w:p>
      <w:pPr>
        <w:ind w:right="20" w:firstLine="1953"/>
        <w:spacing w:after="0" w:line="246" w:lineRule="auto"/>
        <w:tabs>
          <w:tab w:leader="none" w:pos="2905" w:val="left"/>
        </w:tabs>
        <w:numPr>
          <w:ilvl w:val="0"/>
          <w:numId w:val="97"/>
        </w:numPr>
        <w:rPr>
          <w:rFonts w:ascii="Arial" w:cs="Arial" w:eastAsia="Arial" w:hAnsi="Arial"/>
          <w:sz w:val="22"/>
          <w:szCs w:val="22"/>
          <w:color w:val="auto"/>
        </w:rPr>
      </w:pPr>
      <w:r>
        <w:rPr>
          <w:rFonts w:ascii="Arial" w:cs="Arial" w:eastAsia="Arial" w:hAnsi="Arial"/>
          <w:sz w:val="22"/>
          <w:szCs w:val="22"/>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2"/>
          <w:szCs w:val="22"/>
          <w:u w:val="single" w:color="auto"/>
          <w:color w:val="auto"/>
        </w:rPr>
        <w:t>provided that</w:t>
      </w:r>
      <w:r>
        <w:rPr>
          <w:rFonts w:ascii="Arial" w:cs="Arial" w:eastAsia="Arial" w:hAnsi="Arial"/>
          <w:sz w:val="22"/>
          <w:szCs w:val="22"/>
          <w:color w:val="auto"/>
        </w:rPr>
        <w:t>, except to the extent the Optionee had knowledge of the identity of a participant therein while the Optionee was employed by the Company and its subsidiaries and Affiliates (and the Optionee shall be deemed to have had such knowledge if the Optionee would reasonably have been expected to have had such knowledge in the ordinary course of the Optionee’s duties while the Optionee was employed by the Company and its subsidiaries and Affiliates), a participant therein shall not be deemed a Present Client or Past Client (as applicable) hereunder); and</w:t>
      </w:r>
    </w:p>
    <w:p>
      <w:pPr>
        <w:spacing w:after="0" w:line="237" w:lineRule="exact"/>
        <w:rPr>
          <w:rFonts w:ascii="Arial" w:cs="Arial" w:eastAsia="Arial" w:hAnsi="Arial"/>
          <w:sz w:val="22"/>
          <w:szCs w:val="22"/>
          <w:color w:val="auto"/>
        </w:rPr>
      </w:pPr>
    </w:p>
    <w:p>
      <w:pPr>
        <w:ind w:right="100" w:firstLine="1953"/>
        <w:spacing w:after="0" w:line="312" w:lineRule="auto"/>
        <w:tabs>
          <w:tab w:leader="none" w:pos="2845"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105" w:name="page106"/>
    <w:bookmarkEnd w:id="105"/>
    <w:p>
      <w:pPr>
        <w:ind w:left="-20" w:right="20" w:firstLine="1305"/>
        <w:spacing w:after="0" w:line="292" w:lineRule="auto"/>
        <w:tabs>
          <w:tab w:leader="none" w:pos="2177"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Employment</w:t>
      </w:r>
      <w:r>
        <w:rPr>
          <w:rFonts w:ascii="Arial" w:cs="Arial" w:eastAsia="Arial" w:hAnsi="Arial"/>
          <w:sz w:val="19"/>
          <w:szCs w:val="19"/>
          <w:color w:val="auto"/>
        </w:rPr>
        <w:t>” shall mean the Optionee’s employment or other service relationship with the Company and its Affiliates. Employment will be deemed to continue, unless the Administrator expressly provides otherwise, so long as the Optionee is employed by, or otherwise is providing services in a capacity described under Section 4 of the Plan, to the Company or its Affiliates. If the Optionee’s employment or other service relationship is with an Affiliate and that entity ceases to be an Affiliate, the Optionee’s Employment will be deemed to have terminated when the entity ceases to be an Affiliate unless the Optionee transfers Employment to the Company or its remaining Affiliates. For the avoidance of doubt, whether a termination of Employment has occurred will be determined consistent with the rules set forth in Section 7 of the Plan.</w:t>
      </w:r>
    </w:p>
    <w:p>
      <w:pPr>
        <w:spacing w:after="0" w:line="192" w:lineRule="exact"/>
        <w:rPr>
          <w:rFonts w:ascii="Arial" w:cs="Arial" w:eastAsia="Arial" w:hAnsi="Arial"/>
          <w:sz w:val="19"/>
          <w:szCs w:val="19"/>
          <w:color w:val="auto"/>
        </w:rPr>
      </w:pPr>
    </w:p>
    <w:p>
      <w:pPr>
        <w:ind w:left="-20" w:right="140" w:firstLine="1305"/>
        <w:spacing w:after="0" w:line="312" w:lineRule="auto"/>
        <w:tabs>
          <w:tab w:leader="none" w:pos="2165"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4" w:lineRule="exact"/>
        <w:rPr>
          <w:rFonts w:ascii="Arial" w:cs="Arial" w:eastAsia="Arial" w:hAnsi="Arial"/>
          <w:sz w:val="19"/>
          <w:szCs w:val="19"/>
          <w:color w:val="auto"/>
        </w:rPr>
      </w:pPr>
    </w:p>
    <w:p>
      <w:pPr>
        <w:ind w:left="-20" w:right="120" w:firstLine="1305"/>
        <w:spacing w:after="0" w:line="250" w:lineRule="auto"/>
        <w:tabs>
          <w:tab w:leader="none" w:pos="2141"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Optionee’s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Optionee shall have given notice of such event or condition within 90 days of the initial existence of such event or condition and the Company shall not have remedied such event or condition within 30 days after receipt of such notice:</w:t>
      </w:r>
    </w:p>
    <w:p>
      <w:pPr>
        <w:spacing w:after="0" w:line="228" w:lineRule="exact"/>
        <w:rPr>
          <w:rFonts w:ascii="Arial" w:cs="Arial" w:eastAsia="Arial" w:hAnsi="Arial"/>
          <w:sz w:val="22"/>
          <w:szCs w:val="22"/>
          <w:color w:val="auto"/>
        </w:rPr>
      </w:pPr>
    </w:p>
    <w:p>
      <w:pPr>
        <w:ind w:left="2780" w:hanging="847"/>
        <w:spacing w:after="0"/>
        <w:tabs>
          <w:tab w:leader="none" w:pos="2780" w:val="left"/>
        </w:tabs>
        <w:numPr>
          <w:ilvl w:val="1"/>
          <w:numId w:val="98"/>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Optionee’s duties or responsibilities;</w:t>
      </w:r>
    </w:p>
    <w:p>
      <w:pPr>
        <w:spacing w:after="0" w:line="294" w:lineRule="exact"/>
        <w:rPr>
          <w:rFonts w:ascii="Arial" w:cs="Arial" w:eastAsia="Arial" w:hAnsi="Arial"/>
          <w:sz w:val="19"/>
          <w:szCs w:val="19"/>
          <w:color w:val="auto"/>
        </w:rPr>
      </w:pPr>
    </w:p>
    <w:p>
      <w:pPr>
        <w:ind w:left="-20" w:right="40" w:firstLine="1953"/>
        <w:spacing w:after="0" w:line="263" w:lineRule="auto"/>
        <w:tabs>
          <w:tab w:leader="none" w:pos="2837" w:val="left"/>
        </w:tabs>
        <w:numPr>
          <w:ilvl w:val="1"/>
          <w:numId w:val="98"/>
        </w:numPr>
        <w:rPr>
          <w:rFonts w:ascii="Arial" w:cs="Arial" w:eastAsia="Arial" w:hAnsi="Arial"/>
          <w:sz w:val="22"/>
          <w:szCs w:val="22"/>
          <w:color w:val="auto"/>
        </w:rPr>
      </w:pPr>
      <w:r>
        <w:rPr>
          <w:rFonts w:ascii="Arial" w:cs="Arial" w:eastAsia="Arial" w:hAnsi="Arial"/>
          <w:sz w:val="22"/>
          <w:szCs w:val="22"/>
          <w:color w:val="auto"/>
        </w:rPr>
        <w:t>a material reduction in the Optionee’s annual base salary or any target bonus, other than an across-the-board reduction that applies to the Optionee and similarly-situated employees; or</w:t>
      </w:r>
    </w:p>
    <w:p>
      <w:pPr>
        <w:spacing w:after="0" w:line="215" w:lineRule="exact"/>
        <w:rPr>
          <w:rFonts w:ascii="Arial" w:cs="Arial" w:eastAsia="Arial" w:hAnsi="Arial"/>
          <w:sz w:val="22"/>
          <w:szCs w:val="22"/>
          <w:color w:val="auto"/>
        </w:rPr>
      </w:pPr>
    </w:p>
    <w:p>
      <w:pPr>
        <w:ind w:left="-20" w:right="720" w:firstLine="1953"/>
        <w:spacing w:after="0" w:line="343" w:lineRule="auto"/>
        <w:tabs>
          <w:tab w:leader="none" w:pos="2897" w:val="left"/>
        </w:tabs>
        <w:numPr>
          <w:ilvl w:val="1"/>
          <w:numId w:val="98"/>
        </w:numPr>
        <w:rPr>
          <w:rFonts w:ascii="Arial" w:cs="Arial" w:eastAsia="Arial" w:hAnsi="Arial"/>
          <w:sz w:val="19"/>
          <w:szCs w:val="19"/>
          <w:color w:val="auto"/>
        </w:rPr>
      </w:pPr>
      <w:r>
        <w:rPr>
          <w:rFonts w:ascii="Arial" w:cs="Arial" w:eastAsia="Arial" w:hAnsi="Arial"/>
          <w:sz w:val="19"/>
          <w:szCs w:val="19"/>
          <w:color w:val="auto"/>
        </w:rPr>
        <w:t>a change of 50 miles or more in the Optionee’s principal place of Employment, except for required travel on business to an extent substantially consistent with the Optionee’s business travel obligations.</w:t>
      </w:r>
    </w:p>
    <w:p>
      <w:pPr>
        <w:spacing w:after="0" w:line="145" w:lineRule="exact"/>
        <w:rPr>
          <w:rFonts w:ascii="Arial" w:cs="Arial" w:eastAsia="Arial" w:hAnsi="Arial"/>
          <w:sz w:val="19"/>
          <w:szCs w:val="19"/>
          <w:color w:val="auto"/>
        </w:rPr>
      </w:pPr>
    </w:p>
    <w:p>
      <w:pPr>
        <w:ind w:left="-20" w:right="40" w:firstLine="1953"/>
        <w:spacing w:after="0" w:line="250" w:lineRule="auto"/>
        <w:tabs>
          <w:tab w:leader="none" w:pos="2939"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Notwithstanding the foregoing, if the Optionee is party to an employment, severance-benefit, change of control or similar agreement with the Company or any subsidiary thereof that contains a definition of “Good Reason” (or a correlative term), such definition will apply (in the case of the Optionee for purposes of this Agreement) in lieu of the definition set forth above during the term of such agreement.</w:t>
      </w:r>
    </w:p>
    <w:p>
      <w:pPr>
        <w:spacing w:after="0" w:line="228" w:lineRule="exact"/>
        <w:rPr>
          <w:rFonts w:ascii="Arial" w:cs="Arial" w:eastAsia="Arial" w:hAnsi="Arial"/>
          <w:sz w:val="22"/>
          <w:szCs w:val="22"/>
          <w:color w:val="auto"/>
        </w:rPr>
      </w:pPr>
    </w:p>
    <w:p>
      <w:pPr>
        <w:ind w:left="-20" w:right="140" w:firstLine="1305"/>
        <w:spacing w:after="0" w:line="266" w:lineRule="auto"/>
        <w:tabs>
          <w:tab w:leader="none" w:pos="2177" w:val="left"/>
        </w:tabs>
        <w:numPr>
          <w:ilvl w:val="0"/>
          <w:numId w:val="9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214" w:lineRule="exact"/>
        <w:rPr>
          <w:rFonts w:ascii="Arial" w:cs="Arial" w:eastAsia="Arial" w:hAnsi="Arial"/>
          <w:sz w:val="21"/>
          <w:szCs w:val="21"/>
          <w:color w:val="auto"/>
        </w:rPr>
      </w:pPr>
    </w:p>
    <w:p>
      <w:pPr>
        <w:ind w:left="-20" w:firstLine="1305"/>
        <w:spacing w:after="0" w:line="302" w:lineRule="auto"/>
        <w:tabs>
          <w:tab w:leader="none" w:pos="2177"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60" w:top="631" w:right="239" w:bottom="1440" w:gutter="0" w:footer="0" w:header="0"/>
        </w:sectPr>
      </w:pPr>
    </w:p>
    <w:bookmarkStart w:id="106" w:name="page107"/>
    <w:bookmarkEnd w:id="106"/>
    <w:p>
      <w:pPr>
        <w:ind w:right="20"/>
        <w:spacing w:after="0" w:line="287" w:lineRule="auto"/>
        <w:rPr>
          <w:sz w:val="20"/>
          <w:szCs w:val="20"/>
          <w:color w:val="auto"/>
        </w:rPr>
      </w:pPr>
      <w:r>
        <w:rPr>
          <w:rFonts w:ascii="Arial" w:cs="Arial" w:eastAsia="Arial" w:hAnsi="Arial"/>
          <w:sz w:val="19"/>
          <w:szCs w:val="19"/>
          <w:color w:val="auto"/>
        </w:rPr>
        <w:t xml:space="preserve">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Optionee or his department had material, direct interaction with and/or with respect to which Optionee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Optionee’s Employment, the term “Past Client” shall thereafter be limited (solely with respect to the Optionee)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00" w:lineRule="exact"/>
        <w:rPr>
          <w:sz w:val="20"/>
          <w:szCs w:val="20"/>
          <w:color w:val="auto"/>
        </w:rPr>
      </w:pPr>
    </w:p>
    <w:p>
      <w:pPr>
        <w:spacing w:after="0" w:line="257" w:lineRule="exact"/>
        <w:rPr>
          <w:sz w:val="20"/>
          <w:szCs w:val="20"/>
          <w:color w:val="auto"/>
        </w:rPr>
      </w:pPr>
    </w:p>
    <w:p>
      <w:pPr>
        <w:ind w:right="160" w:firstLine="1305"/>
        <w:spacing w:after="0" w:line="263" w:lineRule="auto"/>
        <w:tabs>
          <w:tab w:leader="none" w:pos="2149"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financial target(s) for the applicable performance period(s)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w:t>
      </w:r>
    </w:p>
    <w:p>
      <w:pPr>
        <w:spacing w:after="0" w:line="215" w:lineRule="exact"/>
        <w:rPr>
          <w:rFonts w:ascii="Arial" w:cs="Arial" w:eastAsia="Arial" w:hAnsi="Arial"/>
          <w:sz w:val="22"/>
          <w:szCs w:val="22"/>
          <w:color w:val="auto"/>
        </w:rPr>
      </w:pPr>
    </w:p>
    <w:p>
      <w:pPr>
        <w:ind w:right="780" w:firstLine="1305"/>
        <w:spacing w:after="0" w:line="343" w:lineRule="auto"/>
        <w:tabs>
          <w:tab w:leader="none" w:pos="21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5" w:lineRule="exact"/>
        <w:rPr>
          <w:rFonts w:ascii="Arial" w:cs="Arial" w:eastAsia="Arial" w:hAnsi="Arial"/>
          <w:sz w:val="19"/>
          <w:szCs w:val="19"/>
          <w:color w:val="auto"/>
        </w:rPr>
      </w:pPr>
    </w:p>
    <w:p>
      <w:pPr>
        <w:ind w:right="40" w:firstLine="1305"/>
        <w:spacing w:after="0" w:line="286" w:lineRule="auto"/>
        <w:tabs>
          <w:tab w:leader="none" w:pos="2197"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Optionee or his department had material, direct interaction with and/or with respect to which Optionee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Optionee’s Employment, the term “Potential Client” shall thereafter be limited (solely with respect to the Optionee)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firstLine="1305"/>
        <w:spacing w:after="0" w:line="297" w:lineRule="auto"/>
        <w:tabs>
          <w:tab w:leader="none" w:pos="21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631" w:right="279" w:bottom="1440" w:gutter="0" w:footer="0" w:header="0"/>
        </w:sectPr>
      </w:pPr>
    </w:p>
    <w:bookmarkStart w:id="107" w:name="page108"/>
    <w:bookmarkEnd w:id="107"/>
    <w:p>
      <w:pPr>
        <w:ind w:left="-8" w:right="340" w:firstLine="8"/>
        <w:spacing w:after="0" w:line="248" w:lineRule="auto"/>
        <w:tabs>
          <w:tab w:leader="none" w:pos="29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Optionee or his department had material, direct interaction with and/or with respect to which Optionee had access to proprietary or confidential information.</w:t>
      </w:r>
    </w:p>
    <w:p>
      <w:pPr>
        <w:spacing w:after="0" w:line="232" w:lineRule="exact"/>
        <w:rPr>
          <w:rFonts w:ascii="Arial" w:cs="Arial" w:eastAsia="Arial" w:hAnsi="Arial"/>
          <w:sz w:val="22"/>
          <w:szCs w:val="22"/>
          <w:color w:val="auto"/>
        </w:rPr>
      </w:pPr>
    </w:p>
    <w:p>
      <w:pPr>
        <w:ind w:left="-8" w:right="400" w:firstLine="1305"/>
        <w:spacing w:after="0" w:line="263" w:lineRule="auto"/>
        <w:tabs>
          <w:tab w:leader="none" w:pos="2099"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Optionee’s Employment terminates, this Stock Option may be subject to earlier termination or accelerated vesting as set forth below.</w:t>
      </w:r>
    </w:p>
    <w:p>
      <w:pPr>
        <w:spacing w:after="0" w:line="215" w:lineRule="exact"/>
        <w:rPr>
          <w:sz w:val="20"/>
          <w:szCs w:val="20"/>
          <w:color w:val="auto"/>
        </w:rPr>
      </w:pPr>
    </w:p>
    <w:p>
      <w:pPr>
        <w:ind w:left="-8" w:firstLine="1305"/>
        <w:spacing w:after="0" w:line="285" w:lineRule="auto"/>
        <w:tabs>
          <w:tab w:leader="none" w:pos="2177"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If the Optionee’s Employment terminates by reason of death or disability, this Stock Option shall automatically fully vest at the time of such termination and may thereafter be exercised by the Optionee or the Optionee’s legal representative or legatee, or by the Optionee’s permitted transferee, if any, for a period of twelve (12) months from the date of death or disability, as the case may be, or until the Expiration Date, if earlier;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subject to a Performance Measure, this Stock Option shall only be exercisable pursuant to this Section 4(a) if (i)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this Stock Option shall fully vest at the time of such termination but the vested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 each case, by the Optionee or the Optionee’s legal representative or legatee, or by the Optionee’s permitted transferee, if any, for a period of twelve (12) months from the date of such certification or until the Expiration Date, if earlier).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Stock Option (including any portion thereof that vested pursuant to sub-clause (ii) above)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this Stock Option shall terminate in accordance with Section 1(b) hereof.) In the case of termination by reason of disability, the death of the Optionee during the twelve-month period provided in this Section 4(a) shall extend such period for another twelve (12) months from the date of death or until the Expiration Date, if earlier.</w:t>
      </w:r>
    </w:p>
    <w:p>
      <w:pPr>
        <w:spacing w:after="0" w:line="205" w:lineRule="exact"/>
        <w:rPr>
          <w:rFonts w:ascii="Arial" w:cs="Arial" w:eastAsia="Arial" w:hAnsi="Arial"/>
          <w:sz w:val="19"/>
          <w:szCs w:val="19"/>
          <w:color w:val="auto"/>
        </w:rPr>
      </w:pPr>
    </w:p>
    <w:p>
      <w:pPr>
        <w:ind w:left="-8" w:right="580" w:firstLine="1305"/>
        <w:spacing w:after="0" w:line="263" w:lineRule="auto"/>
        <w:tabs>
          <w:tab w:leader="none" w:pos="2189"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Optionee’s Employment terminates for Cause, this Stock Option shall terminate immediately and be of no further force and effect.</w:t>
      </w:r>
    </w:p>
    <w:p>
      <w:pPr>
        <w:spacing w:after="0" w:line="215" w:lineRule="exact"/>
        <w:rPr>
          <w:rFonts w:ascii="Arial" w:cs="Arial" w:eastAsia="Arial" w:hAnsi="Arial"/>
          <w:sz w:val="22"/>
          <w:szCs w:val="22"/>
          <w:color w:val="auto"/>
        </w:rPr>
      </w:pPr>
    </w:p>
    <w:p>
      <w:pPr>
        <w:ind w:left="-8" w:right="40" w:firstLine="1305"/>
        <w:spacing w:after="0" w:line="259" w:lineRule="auto"/>
        <w:tabs>
          <w:tab w:leader="none" w:pos="2177"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death or disability, for Cause or in connection with a Change of Control described in Section 1(c), and unless a longer period is determined by the Administrator, this Stock Option may be exercised by the Optionee, to the extent exercisable on the date the Optionee’s Employment terminates, for a period of ninety (90) days from the date the Optionee’s Employment terminates or until the Expiration Date, if earlier. Any portion of the Stock Option that is not exercisable at such time shall terminate immediately and be of no further force or effect; it being understood that this Stock Option shall remain outstanding following the date of any termination due to death, disability or in connection with a Change of Control described in Section 1(c) with respect to any portion of this Stock Option that has vested pursuant to Sections 1(c)(y) or 4(a)(ii) hereof until this Stock Option is exercised or terminated in accordance with Section 1(c) or 4(a), as applicable.</w:t>
      </w:r>
    </w:p>
    <w:p>
      <w:pPr>
        <w:spacing w:after="0" w:line="200" w:lineRule="exact"/>
        <w:rPr>
          <w:sz w:val="20"/>
          <w:szCs w:val="20"/>
          <w:color w:val="auto"/>
        </w:rPr>
      </w:pPr>
    </w:p>
    <w:p>
      <w:pPr>
        <w:spacing w:after="0" w:line="264"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72"/>
          </w:cols>
          <w:pgMar w:left="248" w:top="631" w:right="279" w:bottom="1440" w:gutter="0" w:footer="0" w:header="0"/>
        </w:sectPr>
      </w:pPr>
    </w:p>
    <w:bookmarkStart w:id="108" w:name="page109"/>
    <w:bookmarkEnd w:id="108"/>
    <w:p>
      <w:pPr>
        <w:ind w:right="320" w:firstLine="648"/>
        <w:spacing w:after="0" w:line="263" w:lineRule="auto"/>
        <w:rPr>
          <w:sz w:val="20"/>
          <w:szCs w:val="20"/>
          <w:color w:val="auto"/>
        </w:rPr>
      </w:pPr>
      <w:r>
        <w:rPr>
          <w:rFonts w:ascii="Arial" w:cs="Arial" w:eastAsia="Arial" w:hAnsi="Arial"/>
          <w:sz w:val="22"/>
          <w:szCs w:val="22"/>
          <w:color w:val="auto"/>
        </w:rPr>
        <w:t>The Administrator’s determination of the reason that the Optionee’s Employment has terminated shall be conclusive and binding on the Optionee and his or her representatives, legal guardians or legatees.</w:t>
      </w:r>
    </w:p>
    <w:p>
      <w:pPr>
        <w:spacing w:after="0" w:line="215" w:lineRule="exact"/>
        <w:rPr>
          <w:sz w:val="20"/>
          <w:szCs w:val="20"/>
          <w:color w:val="auto"/>
        </w:rPr>
      </w:pPr>
    </w:p>
    <w:p>
      <w:pPr>
        <w:ind w:left="2120" w:hanging="815"/>
        <w:spacing w:after="0"/>
        <w:tabs>
          <w:tab w:leader="none" w:pos="212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60" w:lineRule="exact"/>
        <w:rPr>
          <w:sz w:val="20"/>
          <w:szCs w:val="20"/>
          <w:color w:val="auto"/>
        </w:rPr>
      </w:pPr>
    </w:p>
    <w:p>
      <w:pPr>
        <w:ind w:right="40" w:firstLine="1305"/>
        <w:spacing w:after="0" w:line="257" w:lineRule="auto"/>
        <w:tabs>
          <w:tab w:leader="none" w:pos="218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In consideration of the Stock Option granted herein, the Optionee agrees that during the term of the Optionee’s Employment (or other applicable service relationship) with the Company or any of its subsidiaries or Affiliates and for one (1) year thereafter (or two (2) years if the Optionee breaches his or her fiduciary duty to the Company or its subsidiaries or Affiliates, or unlawfully takes, physically or electronically, property belonging to the Company or its subsidiaries or Affiliates) for any reason other than termination by the Company without Cause, the Optionee: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clause (i) shall prohibit the Optionee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Optionee’s Employment (or other applicable service relationship) with the Company or any of its subsidiaries or Affiliates.</w:t>
      </w:r>
    </w:p>
    <w:p>
      <w:pPr>
        <w:spacing w:after="0" w:line="227"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Optionee may own up to five percent (5%) of the outstanding stock of a publicly held corporation which constitutes or is affiliated with a Competing Business.</w:t>
      </w:r>
    </w:p>
    <w:p>
      <w:pPr>
        <w:spacing w:after="0" w:line="216" w:lineRule="exact"/>
        <w:rPr>
          <w:sz w:val="20"/>
          <w:szCs w:val="20"/>
          <w:color w:val="auto"/>
        </w:rPr>
      </w:pPr>
    </w:p>
    <w:p>
      <w:pPr>
        <w:ind w:firstLine="1305"/>
        <w:spacing w:after="0" w:line="297" w:lineRule="auto"/>
        <w:tabs>
          <w:tab w:leader="none" w:pos="219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During the term of the Optionee’s Employment (or other applicable service relationship) with the Company or any of its subsidiaries or Affiliates and for two (2) years thereafter, the Optionee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Optionee’s Employment with the Company or any of its subsidiaries or Affiliates).</w:t>
      </w:r>
    </w:p>
    <w:p>
      <w:pPr>
        <w:spacing w:after="0" w:line="187" w:lineRule="exact"/>
        <w:rPr>
          <w:rFonts w:ascii="Arial" w:cs="Arial" w:eastAsia="Arial" w:hAnsi="Arial"/>
          <w:sz w:val="19"/>
          <w:szCs w:val="19"/>
          <w:color w:val="auto"/>
        </w:rPr>
      </w:pPr>
    </w:p>
    <w:p>
      <w:pPr>
        <w:ind w:right="140" w:firstLine="1305"/>
        <w:spacing w:after="0" w:line="261" w:lineRule="auto"/>
        <w:tabs>
          <w:tab w:leader="none" w:pos="218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In addition to (and not in limitation of) the provisions of Sections 5(a) and (b) of this Agreement, the Optionee agrees, for the benefit of the Company and its subsidiaries and Affiliates, that the Optionee shall not, during the term of his or her Employment (or other applicable service relationship) with the Company or any of its subsidiaries or Affiliates and for one (1) 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pacing w:after="0" w:line="221" w:lineRule="exact"/>
        <w:rPr>
          <w:sz w:val="20"/>
          <w:szCs w:val="20"/>
          <w:color w:val="auto"/>
        </w:rPr>
      </w:pPr>
    </w:p>
    <w:p>
      <w:pPr>
        <w:ind w:right="560" w:firstLine="1953"/>
        <w:spacing w:after="0" w:line="263" w:lineRule="auto"/>
        <w:tabs>
          <w:tab w:leader="none" w:pos="279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1" w:right="259" w:bottom="1440" w:gutter="0" w:footer="0" w:header="0"/>
        </w:sectPr>
      </w:pPr>
    </w:p>
    <w:bookmarkStart w:id="109" w:name="page110"/>
    <w:bookmarkEnd w:id="109"/>
    <w:p>
      <w:pPr>
        <w:ind w:firstLine="1953"/>
        <w:spacing w:after="0" w:line="297" w:lineRule="auto"/>
        <w:tabs>
          <w:tab w:leader="none" w:pos="285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187" w:lineRule="exact"/>
        <w:rPr>
          <w:rFonts w:ascii="Arial" w:cs="Arial" w:eastAsia="Arial" w:hAnsi="Arial"/>
          <w:sz w:val="19"/>
          <w:szCs w:val="19"/>
          <w:color w:val="auto"/>
        </w:rPr>
      </w:pPr>
    </w:p>
    <w:p>
      <w:pPr>
        <w:ind w:right="180" w:firstLine="1953"/>
        <w:spacing w:after="0" w:line="343" w:lineRule="auto"/>
        <w:tabs>
          <w:tab w:leader="none" w:pos="291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5" w:lineRule="exact"/>
        <w:rPr>
          <w:rFonts w:ascii="Arial" w:cs="Arial" w:eastAsia="Arial" w:hAnsi="Arial"/>
          <w:sz w:val="19"/>
          <w:szCs w:val="19"/>
          <w:color w:val="auto"/>
        </w:rPr>
      </w:pPr>
    </w:p>
    <w:p>
      <w:pPr>
        <w:ind w:right="180" w:firstLine="1953"/>
        <w:spacing w:after="0" w:line="263" w:lineRule="auto"/>
        <w:tabs>
          <w:tab w:leader="none" w:pos="290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15" w:lineRule="exact"/>
        <w:rPr>
          <w:sz w:val="20"/>
          <w:szCs w:val="20"/>
          <w:color w:val="auto"/>
        </w:rPr>
      </w:pPr>
    </w:p>
    <w:p>
      <w:pPr>
        <w:ind w:right="660" w:firstLine="2593"/>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5(c) shall not be applicable to Clients (including Potential Clients) who are also immediate family members of the Optionee.</w:t>
      </w:r>
    </w:p>
    <w:p>
      <w:pPr>
        <w:spacing w:after="0" w:line="215" w:lineRule="exact"/>
        <w:rPr>
          <w:sz w:val="20"/>
          <w:szCs w:val="20"/>
          <w:color w:val="auto"/>
        </w:rPr>
      </w:pPr>
    </w:p>
    <w:p>
      <w:pPr>
        <w:ind w:right="100" w:firstLine="1305"/>
        <w:spacing w:after="0" w:line="250" w:lineRule="auto"/>
        <w:tabs>
          <w:tab w:leader="none" w:pos="219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Optionee understands that the restrictions set forth in Sections 5(a),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28" w:lineRule="exact"/>
        <w:rPr>
          <w:rFonts w:ascii="Arial" w:cs="Arial" w:eastAsia="Arial" w:hAnsi="Arial"/>
          <w:sz w:val="22"/>
          <w:szCs w:val="22"/>
          <w:color w:val="auto"/>
        </w:rPr>
      </w:pPr>
    </w:p>
    <w:p>
      <w:pPr>
        <w:ind w:right="60" w:firstLine="1305"/>
        <w:spacing w:after="0" w:line="285" w:lineRule="auto"/>
        <w:tabs>
          <w:tab w:leader="none" w:pos="218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Optionee agrees and acknowledges that any and all presently existing business of the Company and its subsidiaries and Affiliates and all business developed by the Company, any of its subsidiaries or Affiliates, the Optionee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Optionee acknowledges that, in the course of performing services for the Company and otherwise, the Optionee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The Optionee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88" w:right="239" w:bottom="1440" w:gutter="0" w:footer="0" w:header="0"/>
        </w:sectPr>
      </w:pPr>
    </w:p>
    <w:bookmarkStart w:id="110" w:name="page111"/>
    <w:bookmarkEnd w:id="110"/>
    <w:p>
      <w:pPr>
        <w:spacing w:after="0" w:line="287" w:lineRule="auto"/>
        <w:rPr>
          <w:sz w:val="20"/>
          <w:szCs w:val="20"/>
          <w:color w:val="auto"/>
        </w:rPr>
      </w:pPr>
      <w:r>
        <w:rPr>
          <w:rFonts w:ascii="Arial" w:cs="Arial" w:eastAsia="Arial" w:hAnsi="Arial"/>
          <w:sz w:val="19"/>
          <w:szCs w:val="19"/>
          <w:color w:val="auto"/>
        </w:rPr>
        <w:t xml:space="preserve">of the Company or any subsidiary or Affiliate thereof or otherwise at the Company’s request) such Proprietary Information. Anything contained herein to the contrary notwithstanding, this Section 5(e) shall not (i) apply to any knowledge, information or property which (x) is generally known or available to the public or in the public domain, (y) has been previously disclosed or made available to the public, unless the Optionee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Optionee from cooperating with any governmental process, or any governmental or law enforcement agency in any investigation, or from making any other communications (without notice to or consent from the Company) with a governmental agency. The Optionee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this immunity from liability, the Optionee may be held liable if he or she accesses trade secrets by unauthorized means.</w:t>
      </w:r>
    </w:p>
    <w:p>
      <w:pPr>
        <w:spacing w:after="0" w:line="200" w:lineRule="exact"/>
        <w:rPr>
          <w:sz w:val="20"/>
          <w:szCs w:val="20"/>
          <w:color w:val="auto"/>
        </w:rPr>
      </w:pPr>
    </w:p>
    <w:p>
      <w:pPr>
        <w:spacing w:after="0" w:line="257" w:lineRule="exact"/>
        <w:rPr>
          <w:sz w:val="20"/>
          <w:szCs w:val="20"/>
          <w:color w:val="auto"/>
        </w:rPr>
      </w:pPr>
    </w:p>
    <w:p>
      <w:pPr>
        <w:ind w:right="40" w:firstLine="1305"/>
        <w:spacing w:after="0" w:line="284" w:lineRule="auto"/>
        <w:tabs>
          <w:tab w:leader="none" w:pos="216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The Optionee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Optionee (alone or jointly with others) or under Optionee’s direction during Optionee’s Employment. The Optionee acknowledges and confirms that the Optionee hereby assigns and transfers, and will assign and transfer, to the Company and its successors and assigns all the Optionee’s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Optionee by the Company, a subsidiary or an Affiliate; or</w:t>
      </w:r>
    </w:p>
    <w:p>
      <w:pPr>
        <w:ind w:right="100" w:firstLine="8"/>
        <w:spacing w:after="0" w:line="260" w:lineRule="auto"/>
        <w:tabs>
          <w:tab w:leader="none" w:pos="37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result from the use of premises or personal property (whether tangible or intangible) owned, leased or contracted for by the Company, a subsidiary or an Affiliate (“</w:t>
      </w:r>
      <w:r>
        <w:rPr>
          <w:rFonts w:ascii="Arial" w:cs="Arial" w:eastAsia="Arial" w:hAnsi="Arial"/>
          <w:sz w:val="21"/>
          <w:szCs w:val="21"/>
          <w:u w:val="single" w:color="auto"/>
          <w:color w:val="auto"/>
        </w:rPr>
        <w:t>Company-Related Developments</w:t>
      </w:r>
      <w:r>
        <w:rPr>
          <w:rFonts w:ascii="Arial" w:cs="Arial" w:eastAsia="Arial" w:hAnsi="Arial"/>
          <w:sz w:val="21"/>
          <w:szCs w:val="21"/>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21"/>
          <w:szCs w:val="21"/>
          <w:u w:val="single" w:color="auto"/>
          <w:color w:val="auto"/>
        </w:rPr>
        <w:t>Intellectual Property Rights</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ind w:right="140" w:firstLine="1305"/>
        <w:spacing w:after="0" w:line="259" w:lineRule="auto"/>
        <w:tabs>
          <w:tab w:leader="none" w:pos="2197" w:val="left"/>
        </w:tabs>
        <w:numPr>
          <w:ilvl w:val="1"/>
          <w:numId w:val="109"/>
        </w:numPr>
        <w:rPr>
          <w:rFonts w:ascii="Arial" w:cs="Arial" w:eastAsia="Arial" w:hAnsi="Arial"/>
          <w:sz w:val="21"/>
          <w:szCs w:val="21"/>
          <w:color w:val="auto"/>
        </w:rPr>
      </w:pPr>
      <w:r>
        <w:rPr>
          <w:rFonts w:ascii="Arial" w:cs="Arial" w:eastAsia="Arial" w:hAnsi="Arial"/>
          <w:sz w:val="21"/>
          <w:szCs w:val="21"/>
          <w:color w:val="auto"/>
        </w:rPr>
        <w:t>Upon termination of the Optionee’s Employment for any reason, all Proprietary Information in the Optionee’s possession or control shall be returned to the Company and remain in its possession. The Optionee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224" w:lineRule="exact"/>
        <w:rPr>
          <w:rFonts w:ascii="Arial" w:cs="Arial" w:eastAsia="Arial" w:hAnsi="Arial"/>
          <w:sz w:val="21"/>
          <w:szCs w:val="21"/>
          <w:color w:val="auto"/>
        </w:rPr>
      </w:pPr>
    </w:p>
    <w:p>
      <w:pPr>
        <w:ind w:right="60" w:firstLine="1305"/>
        <w:spacing w:after="0" w:line="250" w:lineRule="auto"/>
        <w:tabs>
          <w:tab w:leader="none" w:pos="2197"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The Optionee and the Company agree that, in the event that any provision of this Section 5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law.</w:t>
      </w:r>
    </w:p>
    <w:p>
      <w:pPr>
        <w:spacing w:after="0" w:line="260" w:lineRule="exact"/>
        <w:rPr>
          <w:sz w:val="20"/>
          <w:szCs w:val="20"/>
          <w:color w:val="auto"/>
        </w:rPr>
      </w:pPr>
    </w:p>
    <w:p>
      <w:pPr>
        <w:ind w:firstLine="1305"/>
        <w:spacing w:after="0" w:line="284" w:lineRule="auto"/>
        <w:tabs>
          <w:tab w:leader="none" w:pos="2107"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Optionee breaches any of the provisions of Section 5 of this Agreement, including without limitation following the termination of the Optionee’s Employment, the entire intrinsic value of the vested Stock Option (as of the date the Optionee’s Employment is terminated, whether or not exercised or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Damages</w:t>
      </w:r>
      <w:r>
        <w:rPr>
          <w:rFonts w:ascii="Arial" w:cs="Arial" w:eastAsia="Arial" w:hAnsi="Arial"/>
          <w:sz w:val="19"/>
          <w:szCs w:val="19"/>
          <w:color w:val="auto"/>
        </w:rPr>
        <w:t xml:space="preserve">”). The parties agree that in the event of such breach by the Optionee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Optionee’s default and, in any such event, in addition to (and not in limitation of) such other remedies as the Company may have against the Optionee, until the Liquidated Damages are recovered in their entirety, (x) the Company shall be entitled to withhold any payments to which the Optionee otherwise would be entitled (whether pursuant to this Agreement or any other agreement, plan or policy, including without limitation distributions hereunder), and (y) the Optionee, at the request of the Company, shall return all or some incentive compensation (which shall include any compensation distributed or awarded to the Optionee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Optionee agrees that the remedies provided in this Section 6 are reasonably related to anticipated losses that the Company and/or any of its subsidiaries or Affiliates would suffer upon a breach of such provisions by the Optionee. The Optionee recognizes and agrees that the Company’s remedies at law for any breach, or threatened breach, of the provisions of this Agreement would be inadequate, and that for any breach or threatened breach of such provisions by the Optionee,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13" w:lineRule="exact"/>
        <w:rPr>
          <w:rFonts w:ascii="Arial" w:cs="Arial" w:eastAsia="Arial" w:hAnsi="Arial"/>
          <w:sz w:val="19"/>
          <w:szCs w:val="19"/>
          <w:color w:val="auto"/>
        </w:rPr>
      </w:pPr>
    </w:p>
    <w:p>
      <w:pPr>
        <w:ind w:left="2120" w:hanging="815"/>
        <w:spacing w:after="0"/>
        <w:tabs>
          <w:tab w:leader="none" w:pos="212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60" w:lineRule="exact"/>
        <w:rPr>
          <w:sz w:val="20"/>
          <w:szCs w:val="20"/>
          <w:color w:val="auto"/>
        </w:rPr>
      </w:pPr>
    </w:p>
    <w:p>
      <w:pPr>
        <w:ind w:right="60" w:firstLine="1305"/>
        <w:spacing w:after="0" w:line="297" w:lineRule="auto"/>
        <w:tabs>
          <w:tab w:leader="none" w:pos="218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Optionee’s Employment may be terminated at any time by the Company or, if different, any subsidiary or Affiliate of the Company that is the Optionee’s employer (the “</w:t>
      </w:r>
      <w:r>
        <w:rPr>
          <w:rFonts w:ascii="Arial" w:cs="Arial" w:eastAsia="Arial" w:hAnsi="Arial"/>
          <w:sz w:val="19"/>
          <w:szCs w:val="19"/>
          <w:u w:val="single" w:color="auto"/>
          <w:color w:val="auto"/>
        </w:rPr>
        <w:t>Optionee’s employer</w:t>
      </w:r>
      <w:r>
        <w:rPr>
          <w:rFonts w:ascii="Arial" w:cs="Arial" w:eastAsia="Arial" w:hAnsi="Arial"/>
          <w:sz w:val="19"/>
          <w:szCs w:val="19"/>
          <w:color w:val="auto"/>
        </w:rPr>
        <w:t xml:space="preserve">”), or by the Optionee;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Optionee (but not the Company or, if different, the Optionee’s employer) shall be required to provide at least six (6) months advance written notice of such termination. For the avoidance of doubt, for purposes of Section 5 of this Agreement, termination of Employment shall be deemed to occur upon delivery of notice of termination by the Optionee.</w:t>
      </w:r>
    </w:p>
    <w:p>
      <w:pPr>
        <w:spacing w:after="0" w:line="187" w:lineRule="exact"/>
        <w:rPr>
          <w:rFonts w:ascii="Arial" w:cs="Arial" w:eastAsia="Arial" w:hAnsi="Arial"/>
          <w:sz w:val="19"/>
          <w:szCs w:val="19"/>
          <w:color w:val="auto"/>
        </w:rPr>
      </w:pPr>
    </w:p>
    <w:p>
      <w:pPr>
        <w:ind w:right="60" w:firstLine="1305"/>
        <w:spacing w:after="0" w:line="246" w:lineRule="auto"/>
        <w:tabs>
          <w:tab w:leader="none" w:pos="219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Optionee, the Company and, if different, the Optionee’s employer shall be under no obligation to provide any activities to Optionee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12" w:name="page113"/>
    <w:bookmarkEnd w:id="112"/>
    <w:p>
      <w:pPr>
        <w:ind w:left="-1200" w:right="80" w:firstLine="1305"/>
        <w:spacing w:after="0" w:line="250" w:lineRule="auto"/>
        <w:tabs>
          <w:tab w:leader="none" w:pos="98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Notwithstanding the foregoing, if the Optionee is a party to an employment agreement with the Company or any subsidiary or Affiliate thereof, any terms of such employment agreement shall supersede and apply in precedence to the provisions of clauses (a) and (b) of this Section 7 and clauses (a) and (b) of this Section 7 shall not be taken to amend the related terms of such employment agreement.</w:t>
      </w:r>
    </w:p>
    <w:p>
      <w:pPr>
        <w:spacing w:after="0" w:line="228" w:lineRule="exact"/>
        <w:rPr>
          <w:rFonts w:ascii="Arial" w:cs="Arial" w:eastAsia="Arial" w:hAnsi="Arial"/>
          <w:sz w:val="22"/>
          <w:szCs w:val="22"/>
          <w:color w:val="auto"/>
        </w:rPr>
      </w:pPr>
    </w:p>
    <w:p>
      <w:pPr>
        <w:ind w:left="-1200" w:right="60" w:firstLine="1305"/>
        <w:spacing w:after="0" w:line="250" w:lineRule="auto"/>
        <w:tabs>
          <w:tab w:leader="none" w:pos="99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In connection with the termination of Optionee’s Employment, the Optionee shall reasonably cooperate with the Company and, if different, the Optionee’s employer, to prepare a communication plan regarding Optionee’s departure, and Optionee shall not make any other public statement regarding his or her departure without the prior written consent of the Company.</w:t>
      </w:r>
    </w:p>
    <w:p>
      <w:pPr>
        <w:spacing w:after="0" w:line="229" w:lineRule="exact"/>
        <w:rPr>
          <w:sz w:val="20"/>
          <w:szCs w:val="20"/>
          <w:color w:val="auto"/>
        </w:rPr>
      </w:pPr>
    </w:p>
    <w:p>
      <w:pPr>
        <w:ind w:left="-1200" w:firstLine="1305"/>
        <w:spacing w:after="0" w:line="271" w:lineRule="auto"/>
        <w:tabs>
          <w:tab w:leader="none" w:pos="907"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In exchange for the consideration herein, the Optionee agrees that he/she will not make any disparaging, derogatory, damaging, and/or critical statements concerning the Company or any subsidiaries or any of their respective affiliates, partners, officers, directors, employees, services, products and/or activities.</w:t>
      </w:r>
    </w:p>
    <w:p>
      <w:pPr>
        <w:spacing w:after="0" w:line="208" w:lineRule="exact"/>
        <w:rPr>
          <w:rFonts w:ascii="Arial" w:cs="Arial" w:eastAsia="Arial" w:hAnsi="Arial"/>
          <w:sz w:val="21"/>
          <w:szCs w:val="21"/>
          <w:color w:val="auto"/>
        </w:rPr>
      </w:pPr>
    </w:p>
    <w:p>
      <w:pPr>
        <w:ind w:left="920" w:hanging="815"/>
        <w:spacing w:after="0"/>
        <w:tabs>
          <w:tab w:leader="none" w:pos="9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60" w:lineRule="exact"/>
        <w:rPr>
          <w:sz w:val="20"/>
          <w:szCs w:val="20"/>
          <w:color w:val="auto"/>
        </w:rPr>
      </w:pPr>
    </w:p>
    <w:p>
      <w:pPr>
        <w:ind w:left="-1200" w:right="160" w:firstLine="1305"/>
        <w:spacing w:after="0" w:line="302" w:lineRule="auto"/>
        <w:tabs>
          <w:tab w:leader="none" w:pos="98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Optionee hereby confirms that he or she is not bound by the terms of any agreement with any previous employer or other party which restricts in any way the Optionee’s use or disclosure of information or the Optionee’s engagement in any business. In the Optionee’s work for the Company or any of its subsidiaries or Affiliates, the Optionee will not disclose or use any information in violation of any rights of any such previous employer or other party.</w:t>
      </w:r>
    </w:p>
    <w:p>
      <w:pPr>
        <w:spacing w:after="0" w:line="183" w:lineRule="exact"/>
        <w:rPr>
          <w:rFonts w:ascii="Arial" w:cs="Arial" w:eastAsia="Arial" w:hAnsi="Arial"/>
          <w:sz w:val="19"/>
          <w:szCs w:val="19"/>
          <w:color w:val="auto"/>
        </w:rPr>
      </w:pPr>
    </w:p>
    <w:p>
      <w:pPr>
        <w:ind w:left="-1200" w:right="120" w:firstLine="1305"/>
        <w:spacing w:after="0" w:line="250" w:lineRule="auto"/>
        <w:tabs>
          <w:tab w:leader="none" w:pos="99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Optionee’s employer, if different than the Company, is an intended third-party beneficiary under this Agreement and may enforce the terms of Sections 5, 6, 7, 8, 11 and 12 of this Agreement. This right is subject to (i) the rights of the parties hereto to rescind or vary this Agreement without the consent of any such subsidiary or Affiliate and (ii) the other terms and conditions of this Agreement and the Plan.</w:t>
      </w:r>
    </w:p>
    <w:p>
      <w:pPr>
        <w:spacing w:after="0" w:line="229" w:lineRule="exact"/>
        <w:rPr>
          <w:sz w:val="20"/>
          <w:szCs w:val="20"/>
          <w:color w:val="auto"/>
        </w:rPr>
      </w:pPr>
    </w:p>
    <w:p>
      <w:pPr>
        <w:ind w:left="-1200" w:firstLine="1305"/>
        <w:spacing w:after="0" w:line="287" w:lineRule="auto"/>
        <w:tabs>
          <w:tab w:leader="none" w:pos="1015"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Optionee, is non-assignable and is not transferable in any manner, by operation of law or otherwise, other than by will or the laws of descent and distribution or as permitted by the Administrator (or its delegee). This Stock Option is exercisable, during the Optionee’s lifetime, only by the Optionee or his or her legal guardian, if any, and thereafter, only by the Optionee’s legal representative or legatee. Notwithstanding anything to the contrary, to the extent that the Administrator, in its sole discretion, determines that all or any portion of this Stock Option does not qualify as an “incentive stock option” under Section 422 of the Code, whether pursuant to Section 5(a)(v) of the Plan or otherwise, the Optionee may transfer, without consideration for the transfer, such part of this Stock Option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 Following such a permitted transfer, the provisions of this Agreement providing for the exercise of this Stock Option by the Optionee shall be deemed to permit exercises by a permitted transferee to whom all or a part of this Stock Option has been permissibly transferred.</w:t>
      </w:r>
    </w:p>
    <w:p>
      <w:pPr>
        <w:spacing w:after="0" w:line="200" w:lineRule="exact"/>
        <w:rPr>
          <w:rFonts w:ascii="Arial" w:cs="Arial" w:eastAsia="Arial" w:hAnsi="Arial"/>
          <w:sz w:val="19"/>
          <w:szCs w:val="19"/>
          <w:color w:val="auto"/>
        </w:rPr>
      </w:pPr>
    </w:p>
    <w:p>
      <w:pPr>
        <w:ind w:left="1020" w:hanging="915"/>
        <w:spacing w:after="0"/>
        <w:tabs>
          <w:tab w:leader="none" w:pos="102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Status of the Stock Option; Certain Tax Matters</w:t>
      </w:r>
      <w:r>
        <w:rPr>
          <w:rFonts w:ascii="Arial" w:cs="Arial" w:eastAsia="Arial" w:hAnsi="Arial"/>
          <w:sz w:val="22"/>
          <w:szCs w:val="22"/>
          <w:color w:val="auto"/>
        </w:rPr>
        <w:t>.</w:t>
      </w:r>
    </w:p>
    <w:p>
      <w:pPr>
        <w:spacing w:after="0" w:line="260" w:lineRule="exact"/>
        <w:rPr>
          <w:sz w:val="20"/>
          <w:szCs w:val="20"/>
          <w:color w:val="auto"/>
        </w:rPr>
      </w:pPr>
    </w:p>
    <w:p>
      <w:pPr>
        <w:ind w:left="4400" w:right="2680" w:hanging="4295"/>
        <w:spacing w:after="0" w:line="494" w:lineRule="auto"/>
        <w:tabs>
          <w:tab w:leader="none" w:pos="98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While all or a portion of this Stock Option may be intended to qualify as an 13</w:t>
      </w:r>
    </w:p>
    <w:p>
      <w:pPr>
        <w:sectPr>
          <w:pgSz w:w="11900" w:h="16838" w:orient="portrait"/>
          <w:cols w:equalWidth="0" w:num="1">
            <w:col w:w="10200"/>
          </w:cols>
          <w:pgMar w:left="1440" w:top="631" w:right="259" w:bottom="1440" w:gutter="0" w:footer="0" w:header="0"/>
        </w:sectPr>
      </w:pPr>
    </w:p>
    <w:bookmarkStart w:id="113" w:name="page114"/>
    <w:bookmarkEnd w:id="113"/>
    <w:p>
      <w:pPr>
        <w:spacing w:after="0" w:line="289" w:lineRule="auto"/>
        <w:rPr>
          <w:sz w:val="20"/>
          <w:szCs w:val="20"/>
          <w:color w:val="auto"/>
        </w:rPr>
      </w:pPr>
      <w:r>
        <w:rPr>
          <w:rFonts w:ascii="Arial" w:cs="Arial" w:eastAsia="Arial" w:hAnsi="Arial"/>
          <w:sz w:val="19"/>
          <w:szCs w:val="19"/>
          <w:color w:val="auto"/>
        </w:rPr>
        <w:t>“incentive stock option” under Section 422 of the Code, the Company does not represent or warrant that this Stock Option qualifies as such, and none of the Company, any of its Affiliates, the Administrator or any person acting on behalf of the Company, any of its Affiliates or the Administrator, will be liable to the Optionee or to the estate or beneficiary of the Optionee or to any person by reason of the failure of the Stock Option to satisfy the requirements of Section 422 of the Code. The Optionee should consult with his or her own tax advisors regarding the tax effects of this Stock Option and the requirements necessary to obtain favorable income tax treatment under Section 422 of the Code, including, but not limited to, holding period and exercise requirements. The Optionee acknowledges and agrees that the Company or the Administrator may take any action permitted under the Plan without regard to the effect such action may have on the status of the Stock Option as an incentive stock option and that such actions may cause the Stock Option to fail to be treated as an incentive stock option.</w:t>
      </w:r>
    </w:p>
    <w:p>
      <w:pPr>
        <w:spacing w:after="0" w:line="198" w:lineRule="exact"/>
        <w:rPr>
          <w:sz w:val="20"/>
          <w:szCs w:val="20"/>
          <w:color w:val="auto"/>
        </w:rPr>
      </w:pPr>
    </w:p>
    <w:p>
      <w:pPr>
        <w:ind w:right="120" w:firstLine="1305"/>
        <w:spacing w:after="0" w:line="263" w:lineRule="auto"/>
        <w:tabs>
          <w:tab w:leader="none" w:pos="2197" w:val="left"/>
        </w:tabs>
        <w:numPr>
          <w:ilvl w:val="0"/>
          <w:numId w:val="117"/>
        </w:numPr>
        <w:rPr>
          <w:rFonts w:ascii="Arial" w:cs="Arial" w:eastAsia="Arial" w:hAnsi="Arial"/>
          <w:sz w:val="21"/>
          <w:szCs w:val="21"/>
          <w:color w:val="auto"/>
        </w:rPr>
      </w:pPr>
      <w:r>
        <w:rPr>
          <w:rFonts w:ascii="Arial" w:cs="Arial" w:eastAsia="Arial" w:hAnsi="Arial"/>
          <w:sz w:val="21"/>
          <w:szCs w:val="21"/>
          <w:color w:val="auto"/>
        </w:rPr>
        <w:t>With respect to any portion of this Stock Option that is intended to qualify as an “incentive stock option” under Section 422 of the Code, if the Optionee intends to dispose or does dispose (whether by sale, gift, transfer or otherwise) of any shares of Stock underlying this Stock Option within the one-year period beginning on the date after the transfer of such shares to him or her, or within the two-year period beginning on the day after the grant of this Stock Option, he or she will notify the Company in writing within fifteen (15) days after such disposition.</w:t>
      </w:r>
    </w:p>
    <w:p>
      <w:pPr>
        <w:spacing w:after="0" w:line="216" w:lineRule="exact"/>
        <w:rPr>
          <w:rFonts w:ascii="Arial" w:cs="Arial" w:eastAsia="Arial" w:hAnsi="Arial"/>
          <w:sz w:val="21"/>
          <w:szCs w:val="21"/>
          <w:color w:val="auto"/>
        </w:rPr>
      </w:pPr>
    </w:p>
    <w:p>
      <w:pPr>
        <w:ind w:firstLine="1305"/>
        <w:spacing w:after="0" w:line="247" w:lineRule="auto"/>
        <w:tabs>
          <w:tab w:leader="none" w:pos="218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To the extent that the aggregate Fair Market Value (determined at the time of grant) of the Option Shares subject to the portion of the Stock Option, if any, intended to qualify as an incentive stock option, and all other incentive stock options the Optionee holds that are exercisable for the first time during any calendar year (under all plans of the Company and its subsidiaries), exceeds $100,000, the Stock Options held by the Optionee or portions thereof that exceed such limit (according to the order in which they were granted in accordance with the regulations under Section 422 of the Code) shall be treated as Non-Qualified Stock Options.</w:t>
      </w:r>
    </w:p>
    <w:p>
      <w:pPr>
        <w:spacing w:after="0" w:line="234" w:lineRule="exact"/>
        <w:rPr>
          <w:rFonts w:ascii="Arial" w:cs="Arial" w:eastAsia="Arial" w:hAnsi="Arial"/>
          <w:sz w:val="22"/>
          <w:szCs w:val="22"/>
          <w:color w:val="auto"/>
        </w:rPr>
      </w:pPr>
    </w:p>
    <w:p>
      <w:pPr>
        <w:ind w:right="120" w:firstLine="1305"/>
        <w:spacing w:after="0" w:line="287" w:lineRule="auto"/>
        <w:tabs>
          <w:tab w:leader="none" w:pos="219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at the time this Stock Option is exercised the Company determines that under applicable law and regulations it could be liable for the withholding of any federal or state tax or employee’s social security contributions upon such exercise or with respect to a disposition of any shares of Stock acquired upon such exercise, the Optionee expressly acknowledges and agrees that the Optionee’s rights hereunder, including the right to be issued shares of Stock upon exercise, are subject to the Optionee promptly paying to the Company in cash (or by such other means as may be acceptable to the Administrator in its discretion) all taxes and employee’s social security contributions required to be withheld. No shares of Stock will be transferred pursuant to the exercise of this Stock Option unless and until the person exercising this Stock Option has remitted to the Company an amount in cash sufficient to satisfy any federal, state, or local withholding tax and employee’s social security contributions requirements, or has made other arrangements satisfactory to the Company with respect to such taxes and employee’s social security contributions. The Optionee authorizes the Company and its subsidiaries to withhold such amount from any amounts otherwise owed to the Optionee, but nothing in this sentence shall be construed as relieving the Optionee of any liability for satisfying his or her obligation under the preceding provisions of this Section 11(d).</w:t>
      </w:r>
    </w:p>
    <w:p>
      <w:pPr>
        <w:spacing w:after="0" w:line="201" w:lineRule="exact"/>
        <w:rPr>
          <w:sz w:val="20"/>
          <w:szCs w:val="20"/>
          <w:color w:val="auto"/>
        </w:rPr>
      </w:pPr>
    </w:p>
    <w:p>
      <w:pPr>
        <w:ind w:left="2220" w:hanging="915"/>
        <w:spacing w:after="0"/>
        <w:tabs>
          <w:tab w:leader="none" w:pos="222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ind w:left="2200" w:hanging="895"/>
        <w:spacing w:after="0"/>
        <w:tabs>
          <w:tab w:leader="none" w:pos="22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This Stock Option is subject to adjustment in accordance with the provisions of Section 3 of the Plan.</w:t>
      </w:r>
    </w:p>
    <w:p>
      <w:pPr>
        <w:spacing w:after="0" w:line="294" w:lineRule="exact"/>
        <w:rPr>
          <w:rFonts w:ascii="Arial" w:cs="Arial" w:eastAsia="Arial" w:hAnsi="Arial"/>
          <w:sz w:val="19"/>
          <w:szCs w:val="19"/>
          <w:color w:val="auto"/>
        </w:rPr>
      </w:pPr>
    </w:p>
    <w:p>
      <w:pPr>
        <w:ind w:left="2200" w:hanging="895"/>
        <w:spacing w:after="0"/>
        <w:tabs>
          <w:tab w:leader="none" w:pos="22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631" w:right="25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business, and (ii) to the Optionee at the address on file in the Company’s records, or in either case at such other address as one party may subsequently furnish to the other party in writing.</w:t>
      </w:r>
    </w:p>
    <w:p>
      <w:pPr>
        <w:spacing w:after="0" w:line="215" w:lineRule="exact"/>
        <w:rPr>
          <w:sz w:val="20"/>
          <w:szCs w:val="20"/>
          <w:color w:val="auto"/>
        </w:rPr>
      </w:pPr>
    </w:p>
    <w:p>
      <w:pPr>
        <w:ind w:right="20" w:firstLine="1305"/>
        <w:spacing w:after="0" w:line="288" w:lineRule="auto"/>
        <w:tabs>
          <w:tab w:leader="none" w:pos="218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Optionee hereby acknowledges and agrees to the following: (i) this Stock Option is offered to the Optionee at the complete discretion of the Company; (ii) the Plan and this Stock Option do not form part of any contract of employment between the Optionee and the Company or any of its subsidiaries or Affiliates and do not confer upon the Optionee any rights with respect to continuance as an employee of the Company or any of its subsidiaries or Affiliates; (iii) this Stock Option will not affect any right the Company or any of its subsidiaries or Affiliates may have under any employment agreement with the Optionee or under applicable law to terminate the Employment of the Optionee at any time with or without Cause; (iv) this Stock Option is not part of the Optionee’s base salary or wages and will not be taken into account in determining any other employment-related rights that the Optionee may have, such as any rights the Optionee may have to pension or severance pay; and (v) this Stock Option does not confer on the Optionee any implied right or entitlement to the exercise of any discretion in his or her favor with respect to any discretionary terms in this Stock Option.</w:t>
      </w:r>
    </w:p>
    <w:p>
      <w:pPr>
        <w:spacing w:after="0" w:line="200" w:lineRule="exact"/>
        <w:rPr>
          <w:rFonts w:ascii="Arial" w:cs="Arial" w:eastAsia="Arial" w:hAnsi="Arial"/>
          <w:sz w:val="19"/>
          <w:szCs w:val="19"/>
          <w:color w:val="auto"/>
        </w:rPr>
      </w:pPr>
    </w:p>
    <w:p>
      <w:pPr>
        <w:ind w:firstLine="1305"/>
        <w:spacing w:after="0" w:line="247" w:lineRule="auto"/>
        <w:tabs>
          <w:tab w:leader="none" w:pos="219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Optionee hereby waives all and any rights to compensation or damages in consequence of the termination of Optionee’s Employment with the Company, or any of its subsidiaries or Affiliates, for any reason whatsoever (whether lawfully or unlawfully) insofar as those rights arise or may arise from his ceasing to have rights under or be entitled to this Stock Option as a result of such termination or from the loss or diminution in value of such rights or entitlements. In the event of any conflict between the terms of this Section 12(d) and the Optionee’s terms of employment, this Section 12(d) shall take precedence (except as required by applicable legislation).</w:t>
      </w:r>
    </w:p>
    <w:p>
      <w:pPr>
        <w:spacing w:after="0" w:line="234" w:lineRule="exact"/>
        <w:rPr>
          <w:rFonts w:ascii="Arial" w:cs="Arial" w:eastAsia="Arial" w:hAnsi="Arial"/>
          <w:sz w:val="22"/>
          <w:szCs w:val="22"/>
          <w:color w:val="auto"/>
        </w:rPr>
      </w:pPr>
    </w:p>
    <w:p>
      <w:pPr>
        <w:ind w:right="420" w:firstLine="1305"/>
        <w:spacing w:after="0" w:line="312" w:lineRule="auto"/>
        <w:tabs>
          <w:tab w:leader="none" w:pos="218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Pursuant to Section 8 of the Plan, the Administrator may at any time amend or cancel any outstanding portion of this Stock Option for any purpose that may at the time be permitted by law, but no such action may be taken that materially and adversely affects the Optionee’s rights under this Agreement without the Optionee’s consent.</w:t>
      </w:r>
    </w:p>
    <w:p>
      <w:pPr>
        <w:spacing w:after="0" w:line="174" w:lineRule="exact"/>
        <w:rPr>
          <w:rFonts w:ascii="Arial" w:cs="Arial" w:eastAsia="Arial" w:hAnsi="Arial"/>
          <w:sz w:val="19"/>
          <w:szCs w:val="19"/>
          <w:color w:val="auto"/>
        </w:rPr>
      </w:pPr>
    </w:p>
    <w:p>
      <w:pPr>
        <w:ind w:right="40" w:firstLine="1305"/>
        <w:spacing w:after="0" w:line="246" w:lineRule="auto"/>
        <w:tabs>
          <w:tab w:leader="none" w:pos="216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the Optionee is resident outside of the United States, to the extent permitted by applicable law, the Optionee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vesting or exercise of a Stock Option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232" w:lineRule="exact"/>
        <w:rPr>
          <w:rFonts w:ascii="Arial" w:cs="Arial" w:eastAsia="Arial" w:hAnsi="Arial"/>
          <w:sz w:val="22"/>
          <w:szCs w:val="22"/>
          <w:color w:val="auto"/>
        </w:rPr>
      </w:pPr>
    </w:p>
    <w:p>
      <w:pPr>
        <w:ind w:right="140" w:firstLine="1305"/>
        <w:spacing w:after="0" w:line="259" w:lineRule="auto"/>
        <w:tabs>
          <w:tab w:leader="none" w:pos="219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Optionee is a resident of, or employed in, the Commonwealth of Massachusetts for at least 30 days prior to his or her termination of Employment (or other applicable service relationship) with the Company or any of its subsidiaries or Affiliates, Section 5(a) and all claims or disputes arising out of or based upon such section or relating to the subject matter thereof will be governed by and construed in accordance 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115" w:name="page116"/>
    <w:bookmarkEnd w:id="115"/>
    <w:p>
      <w:pPr>
        <w:ind w:right="500"/>
        <w:spacing w:after="0" w:line="287" w:lineRule="auto"/>
        <w:rPr>
          <w:sz w:val="20"/>
          <w:szCs w:val="20"/>
          <w:color w:val="auto"/>
        </w:rPr>
      </w:pPr>
      <w:r>
        <w:rPr>
          <w:rFonts w:ascii="Arial" w:cs="Arial" w:eastAsia="Arial" w:hAnsi="Arial"/>
          <w:sz w:val="21"/>
          <w:szCs w:val="21"/>
          <w:color w:val="auto"/>
        </w:rPr>
        <w:t>the domestic substantive laws of the Commonwealth of Massachusetts without giving effect to any choice or conflict of laws provision or rule that would cause the application of the domestic substantive laws of any other jurisdiction.</w:t>
      </w:r>
    </w:p>
    <w:p>
      <w:pPr>
        <w:spacing w:after="0" w:line="192" w:lineRule="exact"/>
        <w:rPr>
          <w:sz w:val="20"/>
          <w:szCs w:val="20"/>
          <w:color w:val="auto"/>
        </w:rPr>
      </w:pPr>
    </w:p>
    <w:p>
      <w:pPr>
        <w:ind w:firstLine="1305"/>
        <w:spacing w:after="0" w:line="248" w:lineRule="auto"/>
        <w:tabs>
          <w:tab w:leader="none" w:pos="219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The Optionee hereby acknowledges that he or she has read this Agreement, including, without limitation, Section 5(a), thoroughly, is satisfied that he or she understands it completely, and agrees to be bound by the terms and conditions set forth herein. The Optionee understands that he or she has the right to consult an attorney before signing this Agreement. Notwithstanding anything to the contrary herein, Section 5(a)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32" w:lineRule="exact"/>
        <w:rPr>
          <w:rFonts w:ascii="Arial" w:cs="Arial" w:eastAsia="Arial" w:hAnsi="Arial"/>
          <w:sz w:val="22"/>
          <w:szCs w:val="22"/>
          <w:color w:val="auto"/>
        </w:rPr>
      </w:pPr>
    </w:p>
    <w:p>
      <w:pPr>
        <w:ind w:right="440" w:firstLine="1305"/>
        <w:spacing w:after="0" w:line="263" w:lineRule="auto"/>
        <w:tabs>
          <w:tab w:leader="none" w:pos="214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this Stock Option shall be, and the Optionee hereby acknowledges that it is, subject to and governed by all the terms and conditions of the Plan.</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00"/>
          </w:cols>
          <w:pgMar w:left="240" w:top="631" w:right="359" w:bottom="1440" w:gutter="0" w:footer="0" w:header="0"/>
        </w:sectPr>
      </w:pPr>
    </w:p>
    <w:bookmarkStart w:id="116" w:name="page117"/>
    <w:bookmarkEnd w:id="116"/>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________________________________</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80"/>
        <w:spacing w:after="0"/>
        <w:rPr>
          <w:sz w:val="20"/>
          <w:szCs w:val="20"/>
          <w:color w:val="auto"/>
        </w:rPr>
      </w:pPr>
      <w:r>
        <w:rPr>
          <w:rFonts w:ascii="Arial" w:cs="Arial" w:eastAsia="Arial" w:hAnsi="Arial"/>
          <w:sz w:val="22"/>
          <w:szCs w:val="22"/>
          <w:i w:val="1"/>
          <w:iCs w:val="1"/>
          <w:color w:val="auto"/>
        </w:rPr>
        <w:t>[Stock Option Award Agreement]</w:t>
      </w:r>
    </w:p>
    <w:p>
      <w:pPr>
        <w:sectPr>
          <w:pgSz w:w="11900" w:h="16838" w:orient="portrait"/>
          <w:cols w:equalWidth="0" w:num="1">
            <w:col w:w="10900"/>
          </w:cols>
          <w:pgMar w:left="240" w:top="631" w:right="75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10.16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2002 STOCK OPTION AND INCENTIVE 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the Affiliated Managers Group, Inc. 2002 Stock Option and Incentive Plan, as amended and/or restated from</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 subject to the terms of this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Affiliated Managers Group, Inc.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grantee named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Grantee</w:t>
      </w:r>
      <w:r>
        <w:rPr>
          <w:rFonts w:ascii="Arial" w:cs="Arial" w:eastAsia="Arial" w:hAnsi="Arial"/>
          <w:sz w:val="19"/>
          <w:szCs w:val="19"/>
          <w:color w:val="auto"/>
        </w:rPr>
        <w:t>”) an Award (the “</w:t>
      </w:r>
      <w:r>
        <w:rPr>
          <w:rFonts w:ascii="Arial" w:cs="Arial" w:eastAsia="Arial" w:hAnsi="Arial"/>
          <w:sz w:val="19"/>
          <w:szCs w:val="19"/>
          <w:u w:val="single" w:color="auto"/>
          <w:color w:val="auto"/>
        </w:rPr>
        <w:t>Award</w:t>
      </w:r>
      <w:r>
        <w:rPr>
          <w:rFonts w:ascii="Arial" w:cs="Arial" w:eastAsia="Arial" w:hAnsi="Arial"/>
          <w:sz w:val="19"/>
          <w:szCs w:val="19"/>
          <w:color w:val="auto"/>
        </w:rPr>
        <w:t>”) of restricted stock</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units (each a “</w:t>
      </w:r>
      <w:r>
        <w:rPr>
          <w:rFonts w:ascii="Arial" w:cs="Arial" w:eastAsia="Arial" w:hAnsi="Arial"/>
          <w:sz w:val="19"/>
          <w:szCs w:val="19"/>
          <w:u w:val="single" w:color="auto"/>
          <w:color w:val="auto"/>
        </w:rPr>
        <w:t>Unit</w:t>
      </w:r>
      <w:r>
        <w:rPr>
          <w:rFonts w:ascii="Arial" w:cs="Arial" w:eastAsia="Arial" w:hAnsi="Arial"/>
          <w:sz w:val="19"/>
          <w:szCs w:val="19"/>
          <w:color w:val="auto"/>
        </w:rPr>
        <w:t>,” and together, the “</w:t>
      </w:r>
      <w:r>
        <w:rPr>
          <w:rFonts w:ascii="Arial" w:cs="Arial" w:eastAsia="Arial" w:hAnsi="Arial"/>
          <w:sz w:val="19"/>
          <w:szCs w:val="19"/>
          <w:u w:val="single" w:color="auto"/>
          <w:color w:val="auto"/>
        </w:rPr>
        <w:t>Units</w:t>
      </w:r>
      <w:r>
        <w:rPr>
          <w:rFonts w:ascii="Arial" w:cs="Arial" w:eastAsia="Arial" w:hAnsi="Arial"/>
          <w:sz w:val="19"/>
          <w:szCs w:val="19"/>
          <w:color w:val="auto"/>
        </w:rPr>
        <w:t>”), consisting of the right to receive a distribution of the number of shares of common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stock, par value $0.01 per share,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to be issued and distributed to the Grantee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according to the terms set forth herein and in the Plan, and the vesting schedule and performance requirements (if any) set forth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herein. This Award shall be treated for all purposes of the Plan as a Deferred Stock Award as described in Section 7 of the Plan.</w:t>
      </w:r>
    </w:p>
    <w:p>
      <w:pPr>
        <w:spacing w:after="0" w:line="277" w:lineRule="exact"/>
        <w:rPr>
          <w:sz w:val="20"/>
          <w:szCs w:val="20"/>
          <w:color w:val="auto"/>
        </w:rPr>
      </w:pPr>
    </w:p>
    <w:p>
      <w:pPr>
        <w:ind w:left="2120" w:hanging="815"/>
        <w:spacing w:after="0"/>
        <w:tabs>
          <w:tab w:leader="none" w:pos="212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60" w:lineRule="exact"/>
        <w:rPr>
          <w:sz w:val="20"/>
          <w:szCs w:val="20"/>
          <w:color w:val="auto"/>
        </w:rPr>
      </w:pPr>
    </w:p>
    <w:p>
      <w:pPr>
        <w:ind w:right="40" w:firstLine="1305"/>
        <w:spacing w:after="0" w:line="248" w:lineRule="auto"/>
        <w:tabs>
          <w:tab w:leader="none" w:pos="2185"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the discretion of the Administrator to accelerate the vesting schedule, the Units shall 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1(b) shall apply. For the avoidance of doubt, the vesting of the Award may be accelerated automatically in certain circumstances described herein.</w:t>
      </w:r>
    </w:p>
    <w:p>
      <w:pPr>
        <w:spacing w:after="0" w:line="232" w:lineRule="exact"/>
        <w:rPr>
          <w:rFonts w:ascii="Arial" w:cs="Arial" w:eastAsia="Arial" w:hAnsi="Arial"/>
          <w:sz w:val="22"/>
          <w:szCs w:val="22"/>
          <w:color w:val="auto"/>
        </w:rPr>
      </w:pPr>
    </w:p>
    <w:p>
      <w:pPr>
        <w:ind w:right="120" w:firstLine="1305"/>
        <w:spacing w:after="0" w:line="289" w:lineRule="auto"/>
        <w:tabs>
          <w:tab w:leader="none" w:pos="2197"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Shares subject to this Award shall be issued and distributed only if the Units have vested in accordance with Section 1(a) and the Compensation Committee has certified the attainment of the Performance Measure with respect to all or any portion thereof; it being understood that if vesting of the Units is accelerated pursuant to Sections 1(c)(y) or 3(a)(ii) hereof, such vested Units shall remain subject to the attainment of the Performance Measure and no Shares shall be issued and distributed in respect of such Units unless and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Units (including any Units that have vested pursuant to Sections 1(c)(y) or 3(a)(ii) hereof), this Award shall terminate immediately and be of no further force or effect with respect to all of the Units or such portion thereof, as applicable.</w:t>
      </w:r>
    </w:p>
    <w:p>
      <w:pPr>
        <w:spacing w:after="0" w:line="198" w:lineRule="exact"/>
        <w:rPr>
          <w:rFonts w:ascii="Arial" w:cs="Arial" w:eastAsia="Arial" w:hAnsi="Arial"/>
          <w:sz w:val="19"/>
          <w:szCs w:val="19"/>
          <w:color w:val="auto"/>
        </w:rPr>
      </w:pPr>
    </w:p>
    <w:p>
      <w:pPr>
        <w:ind w:right="140" w:firstLine="1305"/>
        <w:spacing w:after="0" w:line="289" w:lineRule="auto"/>
        <w:tabs>
          <w:tab w:leader="none" w:pos="2185"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Grantee’s Employment (i) by the Company without Cause or (ii) by the Grantee for Good Reason, in either case occurring within the two-year period following a Change of Control,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(x)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or (y)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w:t>
      </w:r>
    </w:p>
    <w:p>
      <w:pPr>
        <w:sectPr>
          <w:pgSz w:w="11900" w:h="16838" w:orient="portrait"/>
          <w:cols w:equalWidth="0" w:num="1">
            <w:col w:w="11420"/>
          </w:cols>
          <w:pgMar w:left="240" w:top="625" w:right="239" w:bottom="1440" w:gutter="0" w:footer="0" w:header="0"/>
        </w:sectPr>
      </w:pPr>
    </w:p>
    <w:bookmarkStart w:id="118" w:name="page119"/>
    <w:bookmarkEnd w:id="118"/>
    <w:p>
      <w:pPr>
        <w:ind w:right="100"/>
        <w:spacing w:after="0" w:line="297" w:lineRule="auto"/>
        <w:rPr>
          <w:sz w:val="20"/>
          <w:szCs w:val="20"/>
          <w:color w:val="auto"/>
        </w:rPr>
      </w:pPr>
      <w:r>
        <w:rPr>
          <w:rFonts w:ascii="Arial" w:cs="Arial" w:eastAsia="Arial" w:hAnsi="Arial"/>
          <w:sz w:val="19"/>
          <w:szCs w:val="19"/>
          <w:color w:val="auto"/>
        </w:rPr>
        <w:t xml:space="preserve">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Units subject to this Award (including any Units that vested pursuant to sub-clause (y) above) are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of the Units or such portion thereof, as applicable, in accordance with Section 1(b) hereof.)</w:t>
      </w:r>
    </w:p>
    <w:p>
      <w:pPr>
        <w:spacing w:after="0" w:line="188" w:lineRule="exact"/>
        <w:rPr>
          <w:sz w:val="20"/>
          <w:szCs w:val="20"/>
          <w:color w:val="auto"/>
        </w:rPr>
      </w:pPr>
    </w:p>
    <w:p>
      <w:pPr>
        <w:ind w:right="80" w:firstLine="1305"/>
        <w:spacing w:after="0" w:line="253" w:lineRule="auto"/>
        <w:tabs>
          <w:tab w:leader="none" w:pos="2107"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226" w:lineRule="exact"/>
        <w:rPr>
          <w:sz w:val="20"/>
          <w:szCs w:val="20"/>
          <w:color w:val="auto"/>
        </w:rPr>
      </w:pPr>
    </w:p>
    <w:p>
      <w:pPr>
        <w:ind w:left="2200" w:hanging="895"/>
        <w:spacing w:after="0"/>
        <w:tabs>
          <w:tab w:leader="none" w:pos="22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Administrator</w:t>
      </w:r>
      <w:r>
        <w:rPr>
          <w:rFonts w:ascii="Arial" w:cs="Arial" w:eastAsia="Arial" w:hAnsi="Arial"/>
          <w:sz w:val="21"/>
          <w:szCs w:val="21"/>
          <w:color w:val="auto"/>
        </w:rPr>
        <w:t>” shall be defined as the Compensation Committee and, as applicable, any permitted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delegate thereof.</w:t>
      </w:r>
    </w:p>
    <w:p>
      <w:pPr>
        <w:spacing w:after="0" w:line="242" w:lineRule="exact"/>
        <w:rPr>
          <w:rFonts w:ascii="Arial" w:cs="Arial" w:eastAsia="Arial" w:hAnsi="Arial"/>
          <w:sz w:val="21"/>
          <w:szCs w:val="21"/>
          <w:color w:val="auto"/>
        </w:rPr>
      </w:pPr>
    </w:p>
    <w:p>
      <w:pPr>
        <w:ind w:right="120" w:firstLine="1305"/>
        <w:spacing w:after="0" w:line="253" w:lineRule="auto"/>
        <w:tabs>
          <w:tab w:leader="none" w:pos="219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shall mean any corporation or other entity that stands in a relationship to the Company that would result in the Company and such corporation or other entity being treated as one employer under Section 414(b) and Section 414(c) of the Code.</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60" w:lineRule="exact"/>
        <w:rPr>
          <w:rFonts w:ascii="Arial" w:cs="Arial" w:eastAsia="Arial" w:hAnsi="Arial"/>
          <w:sz w:val="22"/>
          <w:szCs w:val="22"/>
          <w:color w:val="auto"/>
        </w:rPr>
      </w:pPr>
    </w:p>
    <w:p>
      <w:pPr>
        <w:jc w:val="both"/>
        <w:ind w:right="500" w:firstLine="1953"/>
        <w:spacing w:after="0" w:line="312" w:lineRule="auto"/>
        <w:tabs>
          <w:tab w:leader="none" w:pos="279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4" w:lineRule="exact"/>
        <w:rPr>
          <w:rFonts w:ascii="Arial" w:cs="Arial" w:eastAsia="Arial" w:hAnsi="Arial"/>
          <w:sz w:val="19"/>
          <w:szCs w:val="19"/>
          <w:color w:val="auto"/>
        </w:rPr>
      </w:pPr>
    </w:p>
    <w:p>
      <w:pPr>
        <w:ind w:left="2860" w:hanging="907"/>
        <w:spacing w:after="0"/>
        <w:tabs>
          <w:tab w:leader="none" w:pos="286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42" w:lineRule="exact"/>
        <w:rPr>
          <w:rFonts w:ascii="Arial" w:cs="Arial" w:eastAsia="Arial" w:hAnsi="Arial"/>
          <w:sz w:val="19"/>
          <w:szCs w:val="19"/>
          <w:color w:val="auto"/>
        </w:rPr>
      </w:pPr>
    </w:p>
    <w:p>
      <w:pPr>
        <w:jc w:val="both"/>
        <w:ind w:right="320" w:firstLine="1953"/>
        <w:spacing w:after="0" w:line="253" w:lineRule="auto"/>
        <w:tabs>
          <w:tab w:leader="none" w:pos="2917"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226" w:lineRule="exact"/>
        <w:rPr>
          <w:rFonts w:ascii="Arial" w:cs="Arial" w:eastAsia="Arial" w:hAnsi="Arial"/>
          <w:sz w:val="22"/>
          <w:szCs w:val="22"/>
          <w:color w:val="auto"/>
        </w:rPr>
      </w:pPr>
    </w:p>
    <w:p>
      <w:pPr>
        <w:ind w:right="560" w:firstLine="1953"/>
        <w:spacing w:after="0" w:line="271" w:lineRule="auto"/>
        <w:tabs>
          <w:tab w:leader="none" w:pos="290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208" w:lineRule="exact"/>
        <w:rPr>
          <w:rFonts w:ascii="Arial" w:cs="Arial" w:eastAsia="Arial" w:hAnsi="Arial"/>
          <w:sz w:val="21"/>
          <w:szCs w:val="21"/>
          <w:color w:val="auto"/>
        </w:rPr>
      </w:pPr>
    </w:p>
    <w:p>
      <w:pPr>
        <w:ind w:firstLine="1953"/>
        <w:spacing w:after="0" w:line="260" w:lineRule="auto"/>
        <w:tabs>
          <w:tab w:leader="none" w:pos="284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for purposes of Section 8(a),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31" w:right="279" w:bottom="1440" w:gutter="0" w:footer="0" w:header="0"/>
        </w:sectPr>
      </w:pPr>
    </w:p>
    <w:bookmarkStart w:id="119" w:name="page120"/>
    <w:bookmarkEnd w:id="119"/>
    <w:p>
      <w:pPr>
        <w:ind w:right="80"/>
        <w:spacing w:after="0" w:line="289" w:lineRule="auto"/>
        <w:rPr>
          <w:sz w:val="20"/>
          <w:szCs w:val="20"/>
          <w:color w:val="auto"/>
        </w:rPr>
      </w:pPr>
      <w:r>
        <w:rPr>
          <w:rFonts w:ascii="Arial" w:cs="Arial" w:eastAsia="Arial" w:hAnsi="Arial"/>
          <w:sz w:val="19"/>
          <w:szCs w:val="19"/>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 foregoing, if Grantee is party to an employment, severance-benefit, change of control or similar agreement with the Company that contains a definition of “Cause” (or a correlative term), such definition will apply (in the case of such Grantee for purposes of this Agreement) in lieu of Sections 2(c)(i)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2(c)(v) of the definition set forth above will always apply for purposes of this Agreement.</w:t>
      </w:r>
    </w:p>
    <w:p>
      <w:pPr>
        <w:spacing w:after="0" w:line="198" w:lineRule="exact"/>
        <w:rPr>
          <w:sz w:val="20"/>
          <w:szCs w:val="20"/>
          <w:color w:val="auto"/>
        </w:rPr>
      </w:pPr>
    </w:p>
    <w:p>
      <w:pPr>
        <w:ind w:right="60" w:firstLine="1305"/>
        <w:spacing w:after="0" w:line="253" w:lineRule="auto"/>
        <w:tabs>
          <w:tab w:leader="none" w:pos="219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shall have the meaning set forth in Section 15 of the Plan, except that a Change of Control as described in Section 15(c)(ii) of the Plan shall be deemed to have occurred only upon the consummation of a transaction described in clause (A), (B) or (C) thereof.</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rules:</w:t>
      </w:r>
    </w:p>
    <w:p>
      <w:pPr>
        <w:spacing w:after="0" w:line="242" w:lineRule="exact"/>
        <w:rPr>
          <w:rFonts w:ascii="Arial" w:cs="Arial" w:eastAsia="Arial" w:hAnsi="Arial"/>
          <w:sz w:val="19"/>
          <w:szCs w:val="19"/>
          <w:color w:val="auto"/>
        </w:rPr>
      </w:pPr>
    </w:p>
    <w:p>
      <w:pPr>
        <w:ind w:right="140" w:firstLine="1953"/>
        <w:spacing w:after="0" w:line="261" w:lineRule="auto"/>
        <w:tabs>
          <w:tab w:leader="none" w:pos="227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80" w:lineRule="exact"/>
        <w:rPr>
          <w:rFonts w:ascii="Arial" w:cs="Arial" w:eastAsia="Arial" w:hAnsi="Arial"/>
          <w:sz w:val="21"/>
          <w:szCs w:val="21"/>
          <w:color w:val="auto"/>
        </w:rPr>
      </w:pPr>
    </w:p>
    <w:p>
      <w:pPr>
        <w:ind w:firstLine="1953"/>
        <w:spacing w:after="0" w:line="292" w:lineRule="auto"/>
        <w:tabs>
          <w:tab w:leader="none" w:pos="233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367" w:lineRule="exact"/>
        <w:rPr>
          <w:rFonts w:ascii="Arial" w:cs="Arial" w:eastAsia="Arial" w:hAnsi="Arial"/>
          <w:sz w:val="19"/>
          <w:szCs w:val="19"/>
          <w:color w:val="auto"/>
        </w:rPr>
      </w:pPr>
    </w:p>
    <w:p>
      <w:pPr>
        <w:ind w:right="20" w:firstLine="1953"/>
        <w:spacing w:after="0" w:line="297" w:lineRule="auto"/>
        <w:tabs>
          <w:tab w:leader="none" w:pos="2395" w:val="left"/>
        </w:tabs>
        <w:numPr>
          <w:ilvl w:val="1"/>
          <w:numId w:val="126"/>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47" w:lineRule="exact"/>
        <w:rPr>
          <w:rFonts w:ascii="Arial" w:cs="Arial" w:eastAsia="Arial" w:hAnsi="Arial"/>
          <w:sz w:val="19"/>
          <w:szCs w:val="19"/>
          <w:color w:val="auto"/>
        </w:rPr>
      </w:pPr>
    </w:p>
    <w:p>
      <w:pPr>
        <w:jc w:val="both"/>
        <w:ind w:right="180" w:firstLine="1953"/>
        <w:spacing w:after="0" w:line="302" w:lineRule="auto"/>
        <w:tabs>
          <w:tab w:leader="none" w:pos="2369" w:val="left"/>
        </w:tabs>
        <w:numPr>
          <w:ilvl w:val="1"/>
          <w:numId w:val="126"/>
        </w:numPr>
        <w:rPr>
          <w:rFonts w:ascii="Arial" w:cs="Arial" w:eastAsia="Arial" w:hAnsi="Arial"/>
          <w:sz w:val="19"/>
          <w:szCs w:val="19"/>
          <w:color w:val="auto"/>
        </w:rPr>
      </w:pPr>
      <w:r>
        <w:rPr>
          <w:rFonts w:ascii="Arial" w:cs="Arial" w:eastAsia="Arial" w:hAnsi="Arial"/>
          <w:sz w:val="19"/>
          <w:szCs w:val="19"/>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20" w:name="page121"/>
    <w:bookmarkEnd w:id="120"/>
    <w:p>
      <w:pPr>
        <w:ind w:right="80"/>
        <w:spacing w:after="0" w:line="253" w:lineRule="auto"/>
        <w:rPr>
          <w:sz w:val="20"/>
          <w:szCs w:val="20"/>
          <w:color w:val="auto"/>
        </w:rPr>
      </w:pPr>
      <w:r>
        <w:rPr>
          <w:rFonts w:ascii="Arial" w:cs="Arial" w:eastAsia="Arial" w:hAnsi="Arial"/>
          <w:sz w:val="22"/>
          <w:szCs w:val="22"/>
          <w:color w:val="auto"/>
        </w:rPr>
        <w:t>have been expected to have had such knowledge in the ordinary course of the Grantee’s duties while the Grantee was employed by the Company and its subsidiaries and Affiliates), a participant therein shall not be deemed a Present Client or Past Client (as applicable) hereunder); and</w:t>
      </w:r>
    </w:p>
    <w:p>
      <w:pPr>
        <w:spacing w:after="0" w:line="226" w:lineRule="exact"/>
        <w:rPr>
          <w:sz w:val="20"/>
          <w:szCs w:val="20"/>
          <w:color w:val="auto"/>
        </w:rPr>
      </w:pPr>
    </w:p>
    <w:p>
      <w:pPr>
        <w:ind w:right="220" w:firstLine="1953"/>
        <w:spacing w:after="0" w:line="312" w:lineRule="auto"/>
        <w:tabs>
          <w:tab w:leader="none" w:pos="230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74" w:lineRule="exact"/>
        <w:rPr>
          <w:rFonts w:ascii="Arial" w:cs="Arial" w:eastAsia="Arial" w:hAnsi="Arial"/>
          <w:sz w:val="19"/>
          <w:szCs w:val="19"/>
          <w:color w:val="auto"/>
        </w:rPr>
      </w:pPr>
    </w:p>
    <w:p>
      <w:pPr>
        <w:ind w:left="2160" w:hanging="855"/>
        <w:spacing w:after="0"/>
        <w:tabs>
          <w:tab w:leader="none" w:pos="21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Compensation Committee</w:t>
      </w:r>
      <w:r>
        <w:rPr>
          <w:rFonts w:ascii="Arial" w:cs="Arial" w:eastAsia="Arial" w:hAnsi="Arial"/>
          <w:sz w:val="22"/>
          <w:szCs w:val="22"/>
          <w:color w:val="auto"/>
        </w:rPr>
        <w:t>” shall mean the “Committee” as defined in the Plan.</w:t>
      </w:r>
    </w:p>
    <w:p>
      <w:pPr>
        <w:spacing w:after="0" w:line="260" w:lineRule="exact"/>
        <w:rPr>
          <w:rFonts w:ascii="Arial" w:cs="Arial" w:eastAsia="Arial" w:hAnsi="Arial"/>
          <w:sz w:val="22"/>
          <w:szCs w:val="22"/>
          <w:color w:val="auto"/>
        </w:rPr>
      </w:pPr>
    </w:p>
    <w:p>
      <w:pPr>
        <w:jc w:val="both"/>
        <w:ind w:firstLine="1305"/>
        <w:spacing w:after="0" w:line="265" w:lineRule="auto"/>
        <w:tabs>
          <w:tab w:leader="none" w:pos="2197" w:val="left"/>
        </w:tabs>
        <w:numPr>
          <w:ilvl w:val="0"/>
          <w:numId w:val="12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Covered Transaction</w:t>
      </w:r>
      <w:r>
        <w:rPr>
          <w:rFonts w:ascii="Arial" w:cs="Arial" w:eastAsia="Arial" w:hAnsi="Arial"/>
          <w:sz w:val="21"/>
          <w:szCs w:val="21"/>
          <w:color w:val="auto"/>
        </w:rPr>
        <w:t>” shall mean a consolidation or merger or a sale, lease, exchange or other transfer of all or substantially all of the assets of the Company in which outstanding shares of Stock are exchanged for securities, cash or other property of an unrelated corporation (or other business entity) or a liquidation of the Company. For purposes of this Award, the term “Transaction” in Section 3(c) of the Plan shall include a Covered Transaction.</w:t>
      </w:r>
    </w:p>
    <w:p>
      <w:pPr>
        <w:spacing w:after="0" w:line="216" w:lineRule="exact"/>
        <w:rPr>
          <w:rFonts w:ascii="Arial" w:cs="Arial" w:eastAsia="Arial" w:hAnsi="Arial"/>
          <w:sz w:val="21"/>
          <w:szCs w:val="21"/>
          <w:color w:val="auto"/>
        </w:rPr>
      </w:pPr>
    </w:p>
    <w:p>
      <w:pPr>
        <w:ind w:right="40" w:firstLine="1305"/>
        <w:spacing w:after="0" w:line="286" w:lineRule="auto"/>
        <w:tabs>
          <w:tab w:leader="none" w:pos="219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Employment</w:t>
      </w:r>
      <w:r>
        <w:rPr>
          <w:rFonts w:ascii="Arial" w:cs="Arial" w:eastAsia="Arial" w:hAnsi="Arial"/>
          <w:sz w:val="19"/>
          <w:szCs w:val="19"/>
          <w:color w:val="auto"/>
        </w:rPr>
        <w:t>” shall mean the Grantee’s employment or other service relationship with the Company and its Affiliates. Employment will be deemed to continue, unless the Administrator expressly provides otherwise, so long as the Grantee is employed by, or otherwise providing services in a capacity described in Section 1 of the Plan to the Company or its Affiliates. If the Grantee’s employment or other service relationship is with an Affiliate and that entity ceases to be an Affiliate, the Grantee’s Employment will be deemed to have terminated when the entity ceases to be an Affiliate unless the Grantee transfers Employment to the Company or its remaining Affiliates. Notwithstanding the foregoing and the definition of “Affiliate” above, in construing the provisions of this Award relating to the payment of “nonqualified deferred compensation” (subject to Code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all other corporations and trades or businesses, if any, that would be treated as a single “service recipient” with the Company under Section 1.409A(h)(3) of the Treasury Regulations. The Company may, but need not, elect in writing, subject to the applicable limitations under Code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203" w:lineRule="exact"/>
        <w:rPr>
          <w:rFonts w:ascii="Arial" w:cs="Arial" w:eastAsia="Arial" w:hAnsi="Arial"/>
          <w:sz w:val="19"/>
          <w:szCs w:val="19"/>
          <w:color w:val="auto"/>
        </w:rPr>
      </w:pPr>
    </w:p>
    <w:p>
      <w:pPr>
        <w:ind w:right="100" w:firstLine="1305"/>
        <w:spacing w:after="0" w:line="312" w:lineRule="auto"/>
        <w:tabs>
          <w:tab w:leader="none" w:pos="214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4" w:lineRule="exact"/>
        <w:rPr>
          <w:rFonts w:ascii="Arial" w:cs="Arial" w:eastAsia="Arial" w:hAnsi="Arial"/>
          <w:sz w:val="19"/>
          <w:szCs w:val="19"/>
          <w:color w:val="auto"/>
        </w:rPr>
      </w:pPr>
    </w:p>
    <w:p>
      <w:pPr>
        <w:ind w:right="80" w:firstLine="1305"/>
        <w:spacing w:after="0" w:line="250" w:lineRule="auto"/>
        <w:tabs>
          <w:tab w:leader="none" w:pos="2149"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29" w:lineRule="exact"/>
        <w:rPr>
          <w:sz w:val="20"/>
          <w:szCs w:val="20"/>
          <w:color w:val="auto"/>
        </w:rPr>
      </w:pPr>
    </w:p>
    <w:p>
      <w:pPr>
        <w:ind w:left="5660" w:right="400" w:hanging="3707"/>
        <w:spacing w:after="0" w:line="737" w:lineRule="auto"/>
        <w:tabs>
          <w:tab w:leader="none" w:pos="280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materially adverse alteration in the nature or status of the Grantee’s duties or responsibilities; 4</w:t>
      </w:r>
    </w:p>
    <w:p>
      <w:pPr>
        <w:sectPr>
          <w:pgSz w:w="11900" w:h="16838" w:orient="portrait"/>
          <w:cols w:equalWidth="0" w:num="1">
            <w:col w:w="11380"/>
          </w:cols>
          <w:pgMar w:left="240" w:top="631" w:right="279" w:bottom="1440" w:gutter="0" w:footer="0" w:header="0"/>
        </w:sectPr>
      </w:pPr>
    </w:p>
    <w:bookmarkStart w:id="121" w:name="page122"/>
    <w:bookmarkEnd w:id="121"/>
    <w:p>
      <w:pPr>
        <w:ind w:left="-20" w:right="160" w:firstLine="1953"/>
        <w:spacing w:after="0" w:line="263" w:lineRule="auto"/>
        <w:tabs>
          <w:tab w:leader="none" w:pos="283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215" w:lineRule="exact"/>
        <w:rPr>
          <w:rFonts w:ascii="Arial" w:cs="Arial" w:eastAsia="Arial" w:hAnsi="Arial"/>
          <w:sz w:val="22"/>
          <w:szCs w:val="22"/>
          <w:color w:val="auto"/>
        </w:rPr>
      </w:pPr>
    </w:p>
    <w:p>
      <w:pPr>
        <w:ind w:left="-20" w:right="60" w:firstLine="1953"/>
        <w:spacing w:after="0" w:line="263" w:lineRule="auto"/>
        <w:tabs>
          <w:tab w:leader="none" w:pos="289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215" w:lineRule="exact"/>
        <w:rPr>
          <w:rFonts w:ascii="Arial" w:cs="Arial" w:eastAsia="Arial" w:hAnsi="Arial"/>
          <w:sz w:val="22"/>
          <w:szCs w:val="22"/>
          <w:color w:val="auto"/>
        </w:rPr>
      </w:pPr>
    </w:p>
    <w:p>
      <w:pPr>
        <w:ind w:left="-20" w:firstLine="1953"/>
        <w:spacing w:after="0" w:line="250" w:lineRule="auto"/>
        <w:tabs>
          <w:tab w:leader="none" w:pos="293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228" w:lineRule="exact"/>
        <w:rPr>
          <w:rFonts w:ascii="Arial" w:cs="Arial" w:eastAsia="Arial" w:hAnsi="Arial"/>
          <w:sz w:val="22"/>
          <w:szCs w:val="22"/>
          <w:color w:val="auto"/>
        </w:rPr>
      </w:pPr>
    </w:p>
    <w:p>
      <w:pPr>
        <w:ind w:left="-20" w:right="140" w:firstLine="1305"/>
        <w:spacing w:after="0" w:line="266" w:lineRule="auto"/>
        <w:tabs>
          <w:tab w:leader="none" w:pos="2177" w:val="left"/>
        </w:tabs>
        <w:numPr>
          <w:ilvl w:val="0"/>
          <w:numId w:val="13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1"/>
          <w:szCs w:val="21"/>
          <w:u w:val="single" w:color="auto"/>
          <w:color w:val="auto"/>
        </w:rPr>
        <w:t>investment adviser</w:t>
      </w:r>
      <w:r>
        <w:rPr>
          <w:rFonts w:ascii="Arial" w:cs="Arial" w:eastAsia="Arial" w:hAnsi="Arial"/>
          <w:sz w:val="21"/>
          <w:szCs w:val="21"/>
          <w:color w:val="auto"/>
        </w:rPr>
        <w:t>” within the meaning of the Investment Advisers Act of 1940, as amended, including, without limitation, in each of the foregoing cases, performing activities related or incidental thereto.</w:t>
      </w:r>
    </w:p>
    <w:p>
      <w:pPr>
        <w:spacing w:after="0" w:line="214" w:lineRule="exact"/>
        <w:rPr>
          <w:rFonts w:ascii="Arial" w:cs="Arial" w:eastAsia="Arial" w:hAnsi="Arial"/>
          <w:sz w:val="21"/>
          <w:szCs w:val="21"/>
          <w:color w:val="auto"/>
        </w:rPr>
      </w:pPr>
    </w:p>
    <w:p>
      <w:pPr>
        <w:ind w:left="-20" w:firstLine="1305"/>
        <w:spacing w:after="0" w:line="285" w:lineRule="auto"/>
        <w:tabs>
          <w:tab w:leader="none" w:pos="212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xml:space="preserve">”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10" w:lineRule="exact"/>
        <w:rPr>
          <w:rFonts w:ascii="Arial" w:cs="Arial" w:eastAsia="Arial" w:hAnsi="Arial"/>
          <w:sz w:val="19"/>
          <w:szCs w:val="19"/>
          <w:color w:val="auto"/>
        </w:rPr>
      </w:pPr>
    </w:p>
    <w:p>
      <w:pPr>
        <w:ind w:left="-20" w:right="720" w:firstLine="1305"/>
        <w:spacing w:after="0" w:line="253" w:lineRule="auto"/>
        <w:tabs>
          <w:tab w:leader="none" w:pos="223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Criteria</w:t>
      </w:r>
      <w:r>
        <w:rPr>
          <w:rFonts w:ascii="Arial" w:cs="Arial" w:eastAsia="Arial" w:hAnsi="Arial"/>
          <w:sz w:val="22"/>
          <w:szCs w:val="22"/>
          <w:color w:val="auto"/>
        </w:rPr>
        <w:t>” shall mean the specified criteria, other than the mere continuation of Employment or the mere passage of time, the satisfaction of which is a condition for the grant, exercisability, vesting or full enjoyment of an Award.</w:t>
      </w:r>
    </w:p>
    <w:p>
      <w:pPr>
        <w:spacing w:after="0" w:line="226" w:lineRule="exact"/>
        <w:rPr>
          <w:rFonts w:ascii="Arial" w:cs="Arial" w:eastAsia="Arial" w:hAnsi="Arial"/>
          <w:sz w:val="22"/>
          <w:szCs w:val="22"/>
          <w:color w:val="auto"/>
        </w:rPr>
      </w:pPr>
    </w:p>
    <w:p>
      <w:pPr>
        <w:ind w:left="-20" w:right="100" w:firstLine="1305"/>
        <w:spacing w:after="0" w:line="263" w:lineRule="auto"/>
        <w:tabs>
          <w:tab w:leader="none" w:pos="217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 for the Performance Period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60" w:top="631" w:right="239" w:bottom="1440" w:gutter="0" w:footer="0" w:header="0"/>
        </w:sectPr>
      </w:pPr>
    </w:p>
    <w:bookmarkStart w:id="122" w:name="page123"/>
    <w:bookmarkEnd w:id="122"/>
    <w:p>
      <w:pPr>
        <w:ind w:left="2180" w:hanging="895"/>
        <w:spacing w:after="0"/>
        <w:tabs>
          <w:tab w:leader="none" w:pos="218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a period of at least a full fiscal year of the Company.</w:t>
      </w:r>
    </w:p>
    <w:p>
      <w:pPr>
        <w:spacing w:after="0" w:line="260" w:lineRule="exact"/>
        <w:rPr>
          <w:rFonts w:ascii="Arial" w:cs="Arial" w:eastAsia="Arial" w:hAnsi="Arial"/>
          <w:sz w:val="22"/>
          <w:szCs w:val="22"/>
          <w:color w:val="auto"/>
        </w:rPr>
      </w:pPr>
    </w:p>
    <w:p>
      <w:pPr>
        <w:ind w:left="-20" w:right="740" w:firstLine="1305"/>
        <w:spacing w:after="0" w:line="343" w:lineRule="auto"/>
        <w:tabs>
          <w:tab w:leader="none" w:pos="217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5" w:lineRule="exact"/>
        <w:rPr>
          <w:rFonts w:ascii="Arial" w:cs="Arial" w:eastAsia="Arial" w:hAnsi="Arial"/>
          <w:sz w:val="19"/>
          <w:szCs w:val="19"/>
          <w:color w:val="auto"/>
        </w:rPr>
      </w:pPr>
    </w:p>
    <w:p>
      <w:pPr>
        <w:ind w:left="-20" w:firstLine="1305"/>
        <w:spacing w:after="0" w:line="286" w:lineRule="auto"/>
        <w:tabs>
          <w:tab w:leader="none" w:pos="2177"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ind w:left="-20" w:right="20" w:firstLine="1305"/>
        <w:spacing w:after="0" w:line="289" w:lineRule="auto"/>
        <w:tabs>
          <w:tab w:leader="none" w:pos="214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8" w:lineRule="exact"/>
        <w:rPr>
          <w:sz w:val="20"/>
          <w:szCs w:val="20"/>
          <w:color w:val="auto"/>
        </w:rPr>
      </w:pPr>
    </w:p>
    <w:p>
      <w:pPr>
        <w:ind w:left="-20" w:right="500" w:firstLine="1305"/>
        <w:spacing w:after="0" w:line="263" w:lineRule="auto"/>
        <w:tabs>
          <w:tab w:leader="none" w:pos="2087"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215" w:lineRule="exact"/>
        <w:rPr>
          <w:sz w:val="20"/>
          <w:szCs w:val="20"/>
          <w:color w:val="auto"/>
        </w:rPr>
      </w:pPr>
    </w:p>
    <w:p>
      <w:pPr>
        <w:ind w:left="-20" w:right="20" w:firstLine="1305"/>
        <w:spacing w:after="0" w:line="294" w:lineRule="auto"/>
        <w:tabs>
          <w:tab w:leader="none" w:pos="2165"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If the Grantee’s Employment terminates by reason of death or disability,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(i)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or (ii) the attainment of the Performance Measure is not yet determinable as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60" w:top="631" w:right="259" w:bottom="1440" w:gutter="0" w:footer="0" w:header="0"/>
        </w:sectPr>
      </w:pPr>
    </w:p>
    <w:bookmarkStart w:id="123" w:name="page124"/>
    <w:bookmarkEnd w:id="123"/>
    <w:p>
      <w:pPr>
        <w:ind w:right="160"/>
        <w:spacing w:after="0" w:line="292" w:lineRule="auto"/>
        <w:rPr>
          <w:sz w:val="20"/>
          <w:szCs w:val="20"/>
          <w:color w:val="auto"/>
        </w:rPr>
      </w:pPr>
      <w:r>
        <w:rPr>
          <w:rFonts w:ascii="Arial" w:cs="Arial" w:eastAsia="Arial" w:hAnsi="Arial"/>
          <w:sz w:val="19"/>
          <w:szCs w:val="19"/>
          <w:color w:val="auto"/>
        </w:rPr>
        <w:t xml:space="preserve">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if the Units subject to this Award (including any Units that vested pursuant to sub-clause (ii) above) are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of the Units or any portion thereof, as applicable, in accordance with Section 1(b) hereof.)</w:t>
      </w:r>
    </w:p>
    <w:p>
      <w:pPr>
        <w:spacing w:after="0" w:line="192" w:lineRule="exact"/>
        <w:rPr>
          <w:sz w:val="20"/>
          <w:szCs w:val="20"/>
          <w:color w:val="auto"/>
        </w:rPr>
      </w:pPr>
    </w:p>
    <w:p>
      <w:pPr>
        <w:ind w:right="60" w:firstLine="1305"/>
        <w:spacing w:after="0" w:line="247" w:lineRule="auto"/>
        <w:tabs>
          <w:tab w:leader="none" w:pos="2197"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Grantee’s Employment terminates for any reason other than death or disability or in connection with a Change of Control described in Section 1(c), this Award shall, to the extent not already vested as described herein, terminate immediately and be of no further force or effect; it being understood that this Award shall remain outstanding following the date of any termination with respect to any Units subject to a Performance Measure that have vested (including pursuant to Sections 1(c)(y) or 3(a)(ii) hereof) until the Shares to be issued in respect thereof are issued and distributed or the Award is terminated in accordance with Section 1(b).</w:t>
      </w:r>
    </w:p>
    <w:p>
      <w:pPr>
        <w:spacing w:after="0" w:line="234"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215" w:lineRule="exact"/>
        <w:rPr>
          <w:sz w:val="20"/>
          <w:szCs w:val="20"/>
          <w:color w:val="auto"/>
        </w:rPr>
      </w:pPr>
    </w:p>
    <w:p>
      <w:pPr>
        <w:ind w:right="40" w:firstLine="1305"/>
        <w:spacing w:after="0" w:line="292" w:lineRule="auto"/>
        <w:tabs>
          <w:tab w:leader="none" w:pos="2107"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Vesting and Distribution</w:t>
      </w:r>
      <w:r>
        <w:rPr>
          <w:rFonts w:ascii="Arial" w:cs="Arial" w:eastAsia="Arial" w:hAnsi="Arial"/>
          <w:sz w:val="19"/>
          <w:szCs w:val="19"/>
          <w:color w:val="auto"/>
        </w:rPr>
        <w:t xml:space="preserve">. The Units shall be distributed only in Shares, such that the Grantee shall be entitled to receive one Share for each vested Unit following, if applicable, attainment of the Performance Measure. The Shares subject to this Award shall be issued and distributed to the Grantee pursuant to Section 1 hereof, and the vesting schedule and, if applicable, performance requirements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with such issuance and distribution of the Shares (whether the Shares are to be held by the Company on the Grantee’s behalf pursuant to Section 15(b) hereof or issued directly to the Grantee) to occur, in all cases, no later than March 15 of the year following the year in which the Units vest, in accordance with the short-term deferral exception under Code Section 409A and the regulations and guidance thereunder.</w:t>
      </w:r>
    </w:p>
    <w:p>
      <w:pPr>
        <w:spacing w:after="0" w:line="192"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Any sales of Shares are subject to the Company’s insider trading policy, equity ownership guidelines and other Company policies as may be in effect from time to time or otherwise established by the Administrator.</w:t>
      </w:r>
    </w:p>
    <w:p>
      <w:pPr>
        <w:spacing w:after="0" w:line="215" w:lineRule="exact"/>
        <w:rPr>
          <w:sz w:val="20"/>
          <w:szCs w:val="20"/>
          <w:color w:val="auto"/>
        </w:rPr>
      </w:pPr>
    </w:p>
    <w:p>
      <w:pPr>
        <w:ind w:right="60" w:firstLine="1305"/>
        <w:spacing w:after="0" w:line="263" w:lineRule="auto"/>
        <w:tabs>
          <w:tab w:leader="none" w:pos="2107"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Effect of Certain Transactions</w:t>
      </w:r>
      <w:r>
        <w:rPr>
          <w:rFonts w:ascii="Arial" w:cs="Arial" w:eastAsia="Arial" w:hAnsi="Arial"/>
          <w:sz w:val="22"/>
          <w:szCs w:val="22"/>
          <w:color w:val="auto"/>
        </w:rPr>
        <w:t>. Except as otherwise provided below, Section 3(c) of the Plan shall apply in the event of a Covered Transaction.</w:t>
      </w:r>
    </w:p>
    <w:p>
      <w:pPr>
        <w:spacing w:after="0" w:line="215" w:lineRule="exact"/>
        <w:rPr>
          <w:sz w:val="20"/>
          <w:szCs w:val="20"/>
          <w:color w:val="auto"/>
        </w:rPr>
      </w:pPr>
    </w:p>
    <w:p>
      <w:pPr>
        <w:ind w:firstLine="1305"/>
        <w:spacing w:after="0" w:line="259" w:lineRule="auto"/>
        <w:tabs>
          <w:tab w:leader="none" w:pos="2185"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Acceleration of Certain Awards</w:t>
      </w:r>
      <w:r>
        <w:rPr>
          <w:rFonts w:ascii="Arial" w:cs="Arial" w:eastAsia="Arial" w:hAnsi="Arial"/>
          <w:sz w:val="21"/>
          <w:szCs w:val="21"/>
          <w:color w:val="auto"/>
        </w:rPr>
        <w:t>. If the Covered Transaction (whether or not there is an acquiring or surviving entity) is one in which there is no assumption, substitution or cash-out, then subject to Section 5(b) below, the delivery of any shares of Stock remaining deliverable under the Award will be accelerated and such shares will be delivered, prior to the Covered Transaction, on a basis that gives the Grantee a reasonable opportunity, as determined by the Administrator, following the delivery of the shares, to participate as a stockholder in the Covered Transaction; provided, that, to the extent acceleration of the Award would cause the Award to fail to satisfy the requirements of Section 409A, the Award shall not be accelerated and the Administrator in lieu thereof shall take such steps as are necessary to ensure that payment of the Award is made in a medium other than Stock and on terms that as nearly as possible, but taking into account adjustments required or permitted by the Plan, replicate the prior terms of the Award.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631" w:right="299" w:bottom="1440" w:gutter="0" w:footer="0" w:header="0"/>
        </w:sectPr>
      </w:pPr>
    </w:p>
    <w:bookmarkStart w:id="124" w:name="page125"/>
    <w:bookmarkEnd w:id="124"/>
    <w:p>
      <w:pPr>
        <w:ind w:left="2200" w:hanging="895"/>
        <w:spacing w:after="0"/>
        <w:tabs>
          <w:tab w:leader="none" w:pos="220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Additional Limitations</w:t>
      </w:r>
      <w:r>
        <w:rPr>
          <w:rFonts w:ascii="Arial" w:cs="Arial" w:eastAsia="Arial" w:hAnsi="Arial"/>
          <w:sz w:val="21"/>
          <w:szCs w:val="21"/>
          <w:color w:val="auto"/>
        </w:rPr>
        <w:t>. Any share of Stock and any cash or other property delivered pursuant to</w:t>
      </w:r>
    </w:p>
    <w:p>
      <w:pPr>
        <w:spacing w:after="0" w:line="33"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Section 5(a) above or Section 3(c)(ii) of the Plan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3(c)(ii) of the Plan shall not, in and of itself, be treated as the lapsing (or satisfaction) of a performance or other vesting condition.</w:t>
      </w:r>
    </w:p>
    <w:p>
      <w:pPr>
        <w:spacing w:after="0" w:line="236" w:lineRule="exact"/>
        <w:rPr>
          <w:sz w:val="20"/>
          <w:szCs w:val="20"/>
          <w:color w:val="auto"/>
        </w:rPr>
      </w:pPr>
    </w:p>
    <w:p>
      <w:pPr>
        <w:ind w:firstLine="1305"/>
        <w:spacing w:after="0" w:line="258" w:lineRule="auto"/>
        <w:tabs>
          <w:tab w:leader="none" w:pos="2107"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If the Company makes any cash dividends or other cash distributions to the holders of Shares of the Company’s common stock, the Grantee shall have the right to receive payments in lieu thereof in respect of the Units subject to this Award (“</w:t>
      </w: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If the Company makes such a cash dividend or other cash distribution prior to the issuance and distribution of the Shares subject to this Award or prior to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total number of then outstanding Units. Such amounts shall be subject to the same vesting, payment (without interest), issuance, distribution and other terms and conditions of the Units to which they relate as provided in this Agreement, including, for the avoidance of doubt, the attainment of any Performance Measure, as certified by the Compensation Committee. References in this Agreement to Units shall, as appropriate, include any Dividend Equivalent Rights described in this Section 6.</w:t>
      </w:r>
    </w:p>
    <w:p>
      <w:pPr>
        <w:spacing w:after="0" w:line="223" w:lineRule="exact"/>
        <w:rPr>
          <w:rFonts w:ascii="Arial" w:cs="Arial" w:eastAsia="Arial" w:hAnsi="Arial"/>
          <w:sz w:val="21"/>
          <w:szCs w:val="21"/>
          <w:color w:val="auto"/>
        </w:rPr>
      </w:pPr>
    </w:p>
    <w:p>
      <w:pPr>
        <w:jc w:val="both"/>
        <w:ind w:right="160" w:firstLine="1305"/>
        <w:spacing w:after="0" w:line="250" w:lineRule="auto"/>
        <w:tabs>
          <w:tab w:leader="none" w:pos="2107"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This Award shall not be interpreted to bestow upon the Grantee any equity interest or ownership in the Company or any subsidiary or Affiliate prior to the dates on which the Company delivers Shares to the Grantee. The Grantee shall have no rights as a shareholder with respect to the Units, and shall have the rights of a shareholder only as to those Shares, if any, that are actually delivered under this Award.</w:t>
      </w:r>
    </w:p>
    <w:p>
      <w:pPr>
        <w:spacing w:after="0" w:line="228" w:lineRule="exact"/>
        <w:rPr>
          <w:rFonts w:ascii="Arial" w:cs="Arial" w:eastAsia="Arial" w:hAnsi="Arial"/>
          <w:sz w:val="22"/>
          <w:szCs w:val="22"/>
          <w:color w:val="auto"/>
        </w:rPr>
      </w:pPr>
    </w:p>
    <w:p>
      <w:pPr>
        <w:ind w:left="2120" w:hanging="815"/>
        <w:spacing w:after="0"/>
        <w:tabs>
          <w:tab w:leader="none" w:pos="212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60" w:lineRule="exact"/>
        <w:rPr>
          <w:sz w:val="20"/>
          <w:szCs w:val="20"/>
          <w:color w:val="auto"/>
        </w:rPr>
      </w:pPr>
    </w:p>
    <w:p>
      <w:pPr>
        <w:ind w:right="20" w:firstLine="1305"/>
        <w:spacing w:after="0" w:line="257" w:lineRule="auto"/>
        <w:tabs>
          <w:tab w:leader="none" w:pos="218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In consideration of the Award of Units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888" w:right="259" w:bottom="1440" w:gutter="0" w:footer="0" w:header="0"/>
        </w:sectPr>
      </w:pPr>
    </w:p>
    <w:bookmarkStart w:id="125" w:name="page126"/>
    <w:bookmarkEnd w:id="125"/>
    <w:p>
      <w:pPr>
        <w:ind w:right="220" w:firstLine="648"/>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216" w:lineRule="exact"/>
        <w:rPr>
          <w:sz w:val="20"/>
          <w:szCs w:val="20"/>
          <w:color w:val="auto"/>
        </w:rPr>
      </w:pPr>
    </w:p>
    <w:p>
      <w:pPr>
        <w:ind w:right="20" w:firstLine="1305"/>
        <w:spacing w:after="0" w:line="297" w:lineRule="auto"/>
        <w:tabs>
          <w:tab w:leader="none" w:pos="219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and its subsidiaries or Affiliates (other than terminations of Employment of subordinate employees undertaken in the course of the Grantee’s Employment with the Company or any of its subsidiaries or Affiliates).</w:t>
      </w:r>
    </w:p>
    <w:p>
      <w:pPr>
        <w:spacing w:after="0" w:line="187" w:lineRule="exact"/>
        <w:rPr>
          <w:rFonts w:ascii="Arial" w:cs="Arial" w:eastAsia="Arial" w:hAnsi="Arial"/>
          <w:sz w:val="19"/>
          <w:szCs w:val="19"/>
          <w:color w:val="auto"/>
        </w:rPr>
      </w:pPr>
    </w:p>
    <w:p>
      <w:pPr>
        <w:ind w:right="160" w:firstLine="1305"/>
        <w:spacing w:after="0" w:line="288" w:lineRule="auto"/>
        <w:tabs>
          <w:tab w:leader="none" w:pos="2185" w:val="left"/>
        </w:tabs>
        <w:numPr>
          <w:ilvl w:val="1"/>
          <w:numId w:val="142"/>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 8(a) and (b) of this Agreement, the Grantee agrees, for the benefit of the Company and its subsidiaries and Affiliates, that the Grantee shall not, during the term of his or her Employment (or other applicable service relationship) with the Company or any of its subsidiaries or Affiliates and for one</w:t>
      </w:r>
    </w:p>
    <w:p>
      <w:pPr>
        <w:spacing w:after="0" w:line="1" w:lineRule="exact"/>
        <w:rPr>
          <w:rFonts w:ascii="Arial" w:cs="Arial" w:eastAsia="Arial" w:hAnsi="Arial"/>
          <w:sz w:val="19"/>
          <w:szCs w:val="19"/>
          <w:color w:val="auto"/>
        </w:rPr>
      </w:pPr>
    </w:p>
    <w:p>
      <w:pPr>
        <w:ind w:right="520" w:firstLine="8"/>
        <w:spacing w:after="0" w:line="245" w:lineRule="auto"/>
        <w:tabs>
          <w:tab w:leader="none" w:pos="30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pacing w:after="0" w:line="233" w:lineRule="exact"/>
        <w:rPr>
          <w:rFonts w:ascii="Arial" w:cs="Arial" w:eastAsia="Arial" w:hAnsi="Arial"/>
          <w:sz w:val="22"/>
          <w:szCs w:val="22"/>
          <w:color w:val="auto"/>
        </w:rPr>
      </w:pPr>
    </w:p>
    <w:p>
      <w:pPr>
        <w:ind w:right="580" w:firstLine="1953"/>
        <w:spacing w:after="0" w:line="263" w:lineRule="auto"/>
        <w:tabs>
          <w:tab w:leader="none" w:pos="2797" w:val="left"/>
        </w:tabs>
        <w:numPr>
          <w:ilvl w:val="2"/>
          <w:numId w:val="143"/>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215" w:lineRule="exact"/>
        <w:rPr>
          <w:rFonts w:ascii="Arial" w:cs="Arial" w:eastAsia="Arial" w:hAnsi="Arial"/>
          <w:sz w:val="22"/>
          <w:szCs w:val="22"/>
          <w:color w:val="auto"/>
        </w:rPr>
      </w:pPr>
    </w:p>
    <w:p>
      <w:pPr>
        <w:ind w:firstLine="1953"/>
        <w:spacing w:after="0" w:line="297" w:lineRule="auto"/>
        <w:tabs>
          <w:tab w:leader="none" w:pos="2857" w:val="left"/>
        </w:tabs>
        <w:numPr>
          <w:ilvl w:val="2"/>
          <w:numId w:val="143"/>
        </w:numPr>
        <w:rPr>
          <w:rFonts w:ascii="Arial" w:cs="Arial" w:eastAsia="Arial" w:hAnsi="Arial"/>
          <w:sz w:val="19"/>
          <w:szCs w:val="19"/>
          <w:color w:val="auto"/>
        </w:rPr>
      </w:pPr>
      <w:r>
        <w:rPr>
          <w:rFonts w:ascii="Arial" w:cs="Arial" w:eastAsia="Arial" w:hAnsi="Arial"/>
          <w:sz w:val="19"/>
          <w:szCs w:val="19"/>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187" w:lineRule="exact"/>
        <w:rPr>
          <w:rFonts w:ascii="Arial" w:cs="Arial" w:eastAsia="Arial" w:hAnsi="Arial"/>
          <w:sz w:val="19"/>
          <w:szCs w:val="19"/>
          <w:color w:val="auto"/>
        </w:rPr>
      </w:pPr>
    </w:p>
    <w:p>
      <w:pPr>
        <w:ind w:right="180" w:firstLine="1953"/>
        <w:spacing w:after="0" w:line="343" w:lineRule="auto"/>
        <w:tabs>
          <w:tab w:leader="none" w:pos="2917" w:val="left"/>
        </w:tabs>
        <w:numPr>
          <w:ilvl w:val="2"/>
          <w:numId w:val="143"/>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5" w:lineRule="exact"/>
        <w:rPr>
          <w:rFonts w:ascii="Arial" w:cs="Arial" w:eastAsia="Arial" w:hAnsi="Arial"/>
          <w:sz w:val="19"/>
          <w:szCs w:val="19"/>
          <w:color w:val="auto"/>
        </w:rPr>
      </w:pPr>
    </w:p>
    <w:p>
      <w:pPr>
        <w:ind w:right="180" w:firstLine="1953"/>
        <w:spacing w:after="0" w:line="263" w:lineRule="auto"/>
        <w:tabs>
          <w:tab w:leader="none" w:pos="2905" w:val="left"/>
        </w:tabs>
        <w:numPr>
          <w:ilvl w:val="2"/>
          <w:numId w:val="143"/>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15" w:lineRule="exact"/>
        <w:rPr>
          <w:sz w:val="20"/>
          <w:szCs w:val="20"/>
          <w:color w:val="auto"/>
        </w:rPr>
      </w:pPr>
    </w:p>
    <w:p>
      <w:pPr>
        <w:ind w:right="660" w:firstLine="2593"/>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8(c) shall not be applicable to Clients (including Potential Clients) who are also immediate family members of the Grantee.</w:t>
      </w:r>
    </w:p>
    <w:p>
      <w:pPr>
        <w:spacing w:after="0" w:line="215" w:lineRule="exact"/>
        <w:rPr>
          <w:sz w:val="20"/>
          <w:szCs w:val="20"/>
          <w:color w:val="auto"/>
        </w:rPr>
      </w:pPr>
    </w:p>
    <w:p>
      <w:pPr>
        <w:ind w:right="220" w:firstLine="1305"/>
        <w:spacing w:after="0" w:line="253" w:lineRule="auto"/>
        <w:tabs>
          <w:tab w:leader="none" w:pos="219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8(a), (b) and (c) of this Agreement are intended and necessary to protect the Company’s and its subsidiaries’ and Affiliates’ interests in its and their Proprietary Information (as hereinafter defined) and established employee and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88"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client relationships and goodwill, and agrees that such restrictions are reasonable and appropriate for this purpose.</w:t>
      </w:r>
    </w:p>
    <w:p>
      <w:pPr>
        <w:spacing w:after="0" w:line="260" w:lineRule="exact"/>
        <w:rPr>
          <w:sz w:val="20"/>
          <w:szCs w:val="20"/>
          <w:color w:val="auto"/>
        </w:rPr>
      </w:pPr>
    </w:p>
    <w:p>
      <w:pPr>
        <w:ind w:firstLine="1305"/>
        <w:spacing w:after="0" w:line="283" w:lineRule="auto"/>
        <w:tabs>
          <w:tab w:leader="none" w:pos="218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8(e) shall not (i) apply to any knowledge, information or property which (x) is generally known or available to 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this immunity from liability, the Grantee may be held liable if he or she accesses trade secrets by unauthorized means.</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ind w:firstLine="1305"/>
        <w:spacing w:after="0" w:line="297" w:lineRule="auto"/>
        <w:tabs>
          <w:tab w:leader="none" w:pos="216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60"/>
          </w:cols>
          <w:pgMar w:left="240" w:top="631" w:right="299" w:bottom="1440" w:gutter="0" w:footer="0" w:header="0"/>
        </w:sectPr>
      </w:pPr>
    </w:p>
    <w:bookmarkStart w:id="127" w:name="page128"/>
    <w:bookmarkEnd w:id="127"/>
    <w:p>
      <w:pPr>
        <w:ind w:right="20"/>
        <w:spacing w:after="0" w:line="290" w:lineRule="auto"/>
        <w:rPr>
          <w:sz w:val="20"/>
          <w:szCs w:val="20"/>
          <w:color w:val="auto"/>
        </w:rPr>
      </w:pPr>
      <w:r>
        <w:rPr>
          <w:rFonts w:ascii="Arial" w:cs="Arial" w:eastAsia="Arial" w:hAnsi="Arial"/>
          <w:sz w:val="19"/>
          <w:szCs w:val="19"/>
          <w:color w:val="auto"/>
        </w:rPr>
        <w:t>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197" w:lineRule="exact"/>
        <w:rPr>
          <w:sz w:val="20"/>
          <w:szCs w:val="20"/>
          <w:color w:val="auto"/>
        </w:rPr>
      </w:pPr>
    </w:p>
    <w:p>
      <w:pPr>
        <w:ind w:right="120" w:firstLine="1305"/>
        <w:spacing w:after="0" w:line="259" w:lineRule="auto"/>
        <w:tabs>
          <w:tab w:leader="none" w:pos="219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224" w:lineRule="exact"/>
        <w:rPr>
          <w:rFonts w:ascii="Arial" w:cs="Arial" w:eastAsia="Arial" w:hAnsi="Arial"/>
          <w:sz w:val="21"/>
          <w:szCs w:val="21"/>
          <w:color w:val="auto"/>
        </w:rPr>
      </w:pPr>
    </w:p>
    <w:p>
      <w:pPr>
        <w:ind w:right="40" w:firstLine="1305"/>
        <w:spacing w:after="0" w:line="247" w:lineRule="auto"/>
        <w:tabs>
          <w:tab w:leader="none" w:pos="219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8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3" w:lineRule="exact"/>
        <w:rPr>
          <w:sz w:val="20"/>
          <w:szCs w:val="20"/>
          <w:color w:val="auto"/>
        </w:rPr>
      </w:pPr>
    </w:p>
    <w:p>
      <w:pPr>
        <w:ind w:firstLine="1305"/>
        <w:spacing w:after="0" w:line="284" w:lineRule="auto"/>
        <w:tabs>
          <w:tab w:leader="none" w:pos="210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Grantee breaches any of the provisions of Section 8 of this Agreement, including, without limitation, following the termination of the 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9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31" w:right="259" w:bottom="1440" w:gutter="0" w:footer="0" w:header="0"/>
        </w:sectPr>
      </w:pPr>
    </w:p>
    <w:bookmarkStart w:id="128" w:name="page129"/>
    <w:bookmarkEnd w:id="128"/>
    <w:p>
      <w:pPr>
        <w:ind w:right="60"/>
        <w:spacing w:after="0" w:line="250" w:lineRule="auto"/>
        <w:rPr>
          <w:sz w:val="20"/>
          <w:szCs w:val="20"/>
          <w:color w:val="auto"/>
        </w:rPr>
      </w:pPr>
      <w:r>
        <w:rPr>
          <w:rFonts w:ascii="Arial" w:cs="Arial" w:eastAsia="Arial" w:hAnsi="Arial"/>
          <w:sz w:val="22"/>
          <w:szCs w:val="22"/>
          <w:color w:val="auto"/>
        </w:rPr>
        <w:t>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29" w:lineRule="exact"/>
        <w:rPr>
          <w:sz w:val="20"/>
          <w:szCs w:val="20"/>
          <w:color w:val="auto"/>
        </w:rPr>
      </w:pPr>
    </w:p>
    <w:p>
      <w:pPr>
        <w:ind w:left="2220" w:hanging="915"/>
        <w:spacing w:after="0"/>
        <w:tabs>
          <w:tab w:leader="none" w:pos="222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60" w:lineRule="exact"/>
        <w:rPr>
          <w:sz w:val="20"/>
          <w:szCs w:val="20"/>
          <w:color w:val="auto"/>
        </w:rPr>
      </w:pPr>
    </w:p>
    <w:p>
      <w:pPr>
        <w:ind w:right="180" w:firstLine="1305"/>
        <w:spacing w:after="0" w:line="263" w:lineRule="auto"/>
        <w:tabs>
          <w:tab w:leader="none" w:pos="175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Grantee’s Employment may be terminated at any time by the Company or, if different, any subsidiary or Affiliate of the Company that is the Grantee’s employer (the “</w:t>
      </w:r>
      <w:r>
        <w:rPr>
          <w:rFonts w:ascii="Arial" w:cs="Arial" w:eastAsia="Arial" w:hAnsi="Arial"/>
          <w:sz w:val="21"/>
          <w:szCs w:val="21"/>
          <w:u w:val="single" w:color="auto"/>
          <w:color w:val="auto"/>
        </w:rPr>
        <w:t>Grantee’s employer</w:t>
      </w:r>
      <w:r>
        <w:rPr>
          <w:rFonts w:ascii="Arial" w:cs="Arial" w:eastAsia="Arial" w:hAnsi="Arial"/>
          <w:sz w:val="21"/>
          <w:szCs w:val="21"/>
          <w:color w:val="auto"/>
        </w:rPr>
        <w:t xml:space="preserve">”), or by the Grantee; </w:t>
      </w:r>
      <w:r>
        <w:rPr>
          <w:rFonts w:ascii="Arial" w:cs="Arial" w:eastAsia="Arial" w:hAnsi="Arial"/>
          <w:sz w:val="21"/>
          <w:szCs w:val="21"/>
          <w:u w:val="single" w:color="auto"/>
          <w:color w:val="auto"/>
        </w:rPr>
        <w:t>provided that</w:t>
      </w:r>
      <w:r>
        <w:rPr>
          <w:rFonts w:ascii="Arial" w:cs="Arial" w:eastAsia="Arial" w:hAnsi="Arial"/>
          <w:sz w:val="21"/>
          <w:szCs w:val="21"/>
          <w:color w:val="auto"/>
        </w:rPr>
        <w:t>, the Grantee (but not the Company or, if different, the Grantee’s employer) shall be required to provide at least six (6) months advance written notice of such termination. For the avoidance of doubt, for purposes of Section 8 of this Agreement, termination of Employment shall be deemed to occur upon delivery of notice of termination by the Grantee.</w:t>
      </w:r>
    </w:p>
    <w:p>
      <w:pPr>
        <w:spacing w:after="0" w:line="175" w:lineRule="exact"/>
        <w:rPr>
          <w:rFonts w:ascii="Arial" w:cs="Arial" w:eastAsia="Arial" w:hAnsi="Arial"/>
          <w:sz w:val="21"/>
          <w:szCs w:val="21"/>
          <w:color w:val="auto"/>
        </w:rPr>
      </w:pPr>
    </w:p>
    <w:p>
      <w:pPr>
        <w:ind w:right="20" w:firstLine="1305"/>
        <w:spacing w:after="0" w:line="246" w:lineRule="auto"/>
        <w:tabs>
          <w:tab w:leader="none" w:pos="176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pacing w:after="0" w:line="197" w:lineRule="exact"/>
        <w:rPr>
          <w:rFonts w:ascii="Arial" w:cs="Arial" w:eastAsia="Arial" w:hAnsi="Arial"/>
          <w:sz w:val="22"/>
          <w:szCs w:val="22"/>
          <w:color w:val="auto"/>
        </w:rPr>
      </w:pPr>
    </w:p>
    <w:p>
      <w:pPr>
        <w:jc w:val="both"/>
        <w:ind w:right="20" w:firstLine="1305"/>
        <w:spacing w:after="0" w:line="250" w:lineRule="auto"/>
        <w:tabs>
          <w:tab w:leader="none" w:pos="175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10 and clauses (a) and (b) of this Section 10 shall not be taken to amend the related terms of such employment agreement.</w:t>
      </w:r>
    </w:p>
    <w:p>
      <w:pPr>
        <w:spacing w:after="0" w:line="188" w:lineRule="exact"/>
        <w:rPr>
          <w:rFonts w:ascii="Arial" w:cs="Arial" w:eastAsia="Arial" w:hAnsi="Arial"/>
          <w:sz w:val="22"/>
          <w:szCs w:val="22"/>
          <w:color w:val="auto"/>
        </w:rPr>
      </w:pPr>
    </w:p>
    <w:p>
      <w:pPr>
        <w:ind w:right="140" w:firstLine="1305"/>
        <w:spacing w:after="0" w:line="312" w:lineRule="auto"/>
        <w:tabs>
          <w:tab w:leader="none" w:pos="176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34" w:lineRule="exact"/>
        <w:rPr>
          <w:sz w:val="20"/>
          <w:szCs w:val="20"/>
          <w:color w:val="auto"/>
        </w:rPr>
      </w:pPr>
    </w:p>
    <w:p>
      <w:pPr>
        <w:ind w:right="20" w:firstLine="1305"/>
        <w:spacing w:after="0" w:line="271" w:lineRule="auto"/>
        <w:tabs>
          <w:tab w:leader="none" w:pos="2207"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In exchange for the consideration herein, the Grantee agrees that he/she will not make any disparaging, derogatory, damaging, and/or critical statements concerning the Company or any subsidiaries or any of their respective affiliates, partners, officers, directors, employees, services, products and/or activities.</w:t>
      </w:r>
    </w:p>
    <w:p>
      <w:pPr>
        <w:spacing w:after="0" w:line="208" w:lineRule="exact"/>
        <w:rPr>
          <w:rFonts w:ascii="Arial" w:cs="Arial" w:eastAsia="Arial" w:hAnsi="Arial"/>
          <w:sz w:val="21"/>
          <w:szCs w:val="21"/>
          <w:color w:val="auto"/>
        </w:rPr>
      </w:pPr>
    </w:p>
    <w:p>
      <w:pPr>
        <w:ind w:left="2220" w:hanging="915"/>
        <w:spacing w:after="0"/>
        <w:tabs>
          <w:tab w:leader="none" w:pos="222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65" w:lineRule="auto"/>
        <w:tabs>
          <w:tab w:leader="none" w:pos="174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75" w:lineRule="exact"/>
        <w:rPr>
          <w:rFonts w:ascii="Arial" w:cs="Arial" w:eastAsia="Arial" w:hAnsi="Arial"/>
          <w:sz w:val="21"/>
          <w:szCs w:val="21"/>
          <w:color w:val="auto"/>
        </w:rPr>
      </w:pPr>
    </w:p>
    <w:p>
      <w:pPr>
        <w:ind w:right="60" w:firstLine="1305"/>
        <w:spacing w:after="0" w:line="253" w:lineRule="auto"/>
        <w:tabs>
          <w:tab w:leader="none" w:pos="176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8, 9, 10, 13, 14 and 15 of this Agreement. This right is subject to (i) the rights of the parties hereto to rescind or vary this Agreement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31" w:right="25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without the consent of any such subsidiary or Affiliate and (ii) the other terms and conditions of this Agreement and the Plan.</w:t>
      </w:r>
    </w:p>
    <w:p>
      <w:pPr>
        <w:spacing w:after="0" w:line="254" w:lineRule="exact"/>
        <w:rPr>
          <w:sz w:val="20"/>
          <w:szCs w:val="20"/>
          <w:color w:val="auto"/>
        </w:rPr>
      </w:pPr>
    </w:p>
    <w:p>
      <w:pPr>
        <w:ind w:firstLine="1305"/>
        <w:spacing w:after="0" w:line="294" w:lineRule="auto"/>
        <w:tabs>
          <w:tab w:leader="none" w:pos="2215"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0" w:lineRule="exact"/>
        <w:rPr>
          <w:rFonts w:ascii="Arial" w:cs="Arial" w:eastAsia="Arial" w:hAnsi="Arial"/>
          <w:sz w:val="19"/>
          <w:szCs w:val="19"/>
          <w:color w:val="auto"/>
        </w:rPr>
      </w:pPr>
    </w:p>
    <w:p>
      <w:pPr>
        <w:ind w:right="40" w:firstLine="1305"/>
        <w:spacing w:after="0" w:line="258" w:lineRule="auto"/>
        <w:tabs>
          <w:tab w:leader="none" w:pos="2215"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To the extent permitted by law, the Company, the Grantee’s employer or their agents shall have the right to withhold or deduct from any distributions (including any Shares acquired or otherwise deliverable and the payment of other amounts with respect to the Units) or payments to the Grantee the minimum amount of taxes and any social security contributions required to be withheld or deducted by federal, state or local governments.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 payment hereunder) the minimum amount of taxes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220" w:lineRule="exact"/>
        <w:rPr>
          <w:rFonts w:ascii="Arial" w:cs="Arial" w:eastAsia="Arial" w:hAnsi="Arial"/>
          <w:sz w:val="21"/>
          <w:szCs w:val="21"/>
          <w:color w:val="auto"/>
        </w:rPr>
      </w:pPr>
    </w:p>
    <w:p>
      <w:pPr>
        <w:ind w:left="2220" w:hanging="915"/>
        <w:spacing w:after="0"/>
        <w:tabs>
          <w:tab w:leader="none" w:pos="222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ind w:left="2200" w:hanging="895"/>
        <w:spacing w:after="0"/>
        <w:tabs>
          <w:tab w:leader="none" w:pos="22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Units are subject to adjustment in accordance with the provisions of Section 3 of the Plan.</w:t>
      </w:r>
    </w:p>
    <w:p>
      <w:pPr>
        <w:spacing w:after="0" w:line="260" w:lineRule="exact"/>
        <w:rPr>
          <w:rFonts w:ascii="Arial" w:cs="Arial" w:eastAsia="Arial" w:hAnsi="Arial"/>
          <w:sz w:val="22"/>
          <w:szCs w:val="22"/>
          <w:color w:val="auto"/>
        </w:rPr>
      </w:pPr>
    </w:p>
    <w:p>
      <w:pPr>
        <w:ind w:right="100" w:firstLine="1305"/>
        <w:spacing w:after="0" w:line="246" w:lineRule="auto"/>
        <w:tabs>
          <w:tab w:leader="none" w:pos="21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Company shall maintain an account on its books in the name of the Grantee which shall reflect the number of Units awarded to the Grantee and the number of Shares the Grantee is eligible to receive thereunder. The Grantee acknowledges and agrees that the Company (i) may hold all vested Units and all Shares issued and distributed in respect thereof pursuant to this Award on behalf of the Grantee, until such time as the Grantee submits a request for delivery, and (ii) will exercise voting rights and take all other corporate actions for any Shares issued pursuant to this Award for such time as such Shares may be held by the Company on behalf of the Grantee, unless the Grantee provides written notice to the Human Resources Department to the contrary.</w:t>
      </w:r>
    </w:p>
    <w:p>
      <w:pPr>
        <w:spacing w:after="0" w:line="237" w:lineRule="exact"/>
        <w:rPr>
          <w:rFonts w:ascii="Arial" w:cs="Arial" w:eastAsia="Arial" w:hAnsi="Arial"/>
          <w:sz w:val="22"/>
          <w:szCs w:val="22"/>
          <w:color w:val="auto"/>
        </w:rPr>
      </w:pPr>
    </w:p>
    <w:p>
      <w:pPr>
        <w:ind w:right="540" w:firstLine="1305"/>
        <w:spacing w:after="0" w:line="253" w:lineRule="auto"/>
        <w:tabs>
          <w:tab w:leader="none" w:pos="218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226" w:lineRule="exact"/>
        <w:rPr>
          <w:rFonts w:ascii="Arial" w:cs="Arial" w:eastAsia="Arial" w:hAnsi="Arial"/>
          <w:sz w:val="22"/>
          <w:szCs w:val="22"/>
          <w:color w:val="auto"/>
        </w:rPr>
      </w:pPr>
    </w:p>
    <w:p>
      <w:pPr>
        <w:ind w:right="120" w:firstLine="1305"/>
        <w:spacing w:after="0" w:line="250" w:lineRule="auto"/>
        <w:tabs>
          <w:tab w:leader="none" w:pos="21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631" w:right="259" w:bottom="1440" w:gutter="0" w:footer="0" w:header="0"/>
        </w:sectPr>
      </w:pPr>
    </w:p>
    <w:bookmarkStart w:id="130" w:name="page131"/>
    <w:bookmarkEnd w:id="130"/>
    <w:p>
      <w:pPr>
        <w:spacing w:after="0" w:line="294" w:lineRule="auto"/>
        <w:rPr>
          <w:sz w:val="20"/>
          <w:szCs w:val="20"/>
          <w:color w:val="auto"/>
        </w:rPr>
      </w:pPr>
      <w:r>
        <w:rPr>
          <w:rFonts w:ascii="Arial" w:cs="Arial" w:eastAsia="Arial" w:hAnsi="Arial"/>
          <w:sz w:val="19"/>
          <w:szCs w:val="19"/>
          <w:color w:val="auto"/>
        </w:rPr>
        <w:t>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190" w:lineRule="exact"/>
        <w:rPr>
          <w:sz w:val="20"/>
          <w:szCs w:val="20"/>
          <w:color w:val="auto"/>
        </w:rPr>
      </w:pPr>
    </w:p>
    <w:p>
      <w:pPr>
        <w:ind w:firstLine="1305"/>
        <w:spacing w:after="0" w:line="247" w:lineRule="auto"/>
        <w:tabs>
          <w:tab w:leader="none" w:pos="218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 the terms of this Section 15(e) and the Grantee’s terms of employment, this Section 15(e) shall take precedence (except as required by applicable legislation).</w:t>
      </w:r>
    </w:p>
    <w:p>
      <w:pPr>
        <w:spacing w:after="0" w:line="234" w:lineRule="exact"/>
        <w:rPr>
          <w:rFonts w:ascii="Arial" w:cs="Arial" w:eastAsia="Arial" w:hAnsi="Arial"/>
          <w:sz w:val="22"/>
          <w:szCs w:val="22"/>
          <w:color w:val="auto"/>
        </w:rPr>
      </w:pPr>
    </w:p>
    <w:p>
      <w:pPr>
        <w:ind w:right="60" w:firstLine="1305"/>
        <w:spacing w:after="0" w:line="271" w:lineRule="auto"/>
        <w:tabs>
          <w:tab w:leader="none" w:pos="2161" w:val="left"/>
        </w:tabs>
        <w:numPr>
          <w:ilvl w:val="0"/>
          <w:numId w:val="154"/>
        </w:numPr>
        <w:rPr>
          <w:rFonts w:ascii="Arial" w:cs="Arial" w:eastAsia="Arial" w:hAnsi="Arial"/>
          <w:sz w:val="21"/>
          <w:szCs w:val="21"/>
          <w:color w:val="auto"/>
        </w:rPr>
      </w:pPr>
      <w:r>
        <w:rPr>
          <w:rFonts w:ascii="Arial" w:cs="Arial" w:eastAsia="Arial" w:hAnsi="Arial"/>
          <w:sz w:val="21"/>
          <w:szCs w:val="21"/>
          <w:color w:val="auto"/>
        </w:rPr>
        <w:t>Pursuant to Section 13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208" w:lineRule="exact"/>
        <w:rPr>
          <w:rFonts w:ascii="Arial" w:cs="Arial" w:eastAsia="Arial" w:hAnsi="Arial"/>
          <w:sz w:val="21"/>
          <w:szCs w:val="21"/>
          <w:color w:val="auto"/>
        </w:rPr>
      </w:pPr>
    </w:p>
    <w:p>
      <w:pPr>
        <w:ind w:right="40" w:firstLine="1305"/>
        <w:spacing w:after="0" w:line="284" w:lineRule="auto"/>
        <w:tabs>
          <w:tab w:leader="none" w:pos="219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2" w:lineRule="exact"/>
        <w:rPr>
          <w:rFonts w:ascii="Arial" w:cs="Arial" w:eastAsia="Arial" w:hAnsi="Arial"/>
          <w:sz w:val="19"/>
          <w:szCs w:val="19"/>
          <w:color w:val="auto"/>
        </w:rPr>
      </w:pPr>
    </w:p>
    <w:p>
      <w:pPr>
        <w:ind w:right="40" w:firstLine="1305"/>
        <w:spacing w:after="0" w:line="256" w:lineRule="auto"/>
        <w:tabs>
          <w:tab w:leader="none" w:pos="219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8(a)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228" w:lineRule="exact"/>
        <w:rPr>
          <w:rFonts w:ascii="Arial" w:cs="Arial" w:eastAsia="Arial" w:hAnsi="Arial"/>
          <w:sz w:val="21"/>
          <w:szCs w:val="21"/>
          <w:color w:val="auto"/>
        </w:rPr>
      </w:pPr>
    </w:p>
    <w:p>
      <w:pPr>
        <w:jc w:val="both"/>
        <w:ind w:right="260" w:firstLine="1305"/>
        <w:spacing w:after="0" w:line="288" w:lineRule="auto"/>
        <w:tabs>
          <w:tab w:leader="none" w:pos="2149"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8(a), thoroughly, is satisfied that he or she understands it completely, and agrees to be bound by the terms and conditions set forth herein. The Grantee understands that he or she has the right to consult an attorney before signing this Agreement.</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Notwithstanding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 xml:space="preserve">anything to the contrary herein, Section 8(a) shall not take effect until ten (10) business days after the Grant Date listed on </w:t>
      </w:r>
      <w:r>
        <w:rPr>
          <w:rFonts w:ascii="Arial" w:cs="Arial" w:eastAsia="Arial" w:hAnsi="Arial"/>
          <w:sz w:val="19"/>
          <w:szCs w:val="19"/>
          <w:u w:val="single" w:color="auto"/>
          <w:color w:val="auto"/>
        </w:rPr>
        <w:t>Exhibit</w:t>
      </w:r>
    </w:p>
    <w:p>
      <w:pPr>
        <w:spacing w:after="0" w:line="56" w:lineRule="exact"/>
        <w:rPr>
          <w:sz w:val="20"/>
          <w:szCs w:val="20"/>
          <w:color w:val="auto"/>
        </w:rPr>
      </w:pPr>
    </w:p>
    <w:p>
      <w:pPr>
        <w:ind w:left="220" w:hanging="212"/>
        <w:spacing w:after="0"/>
        <w:tabs>
          <w:tab w:leader="none" w:pos="220" w:val="left"/>
        </w:tabs>
        <w:numPr>
          <w:ilvl w:val="0"/>
          <w:numId w:val="155"/>
        </w:numPr>
        <w:rPr>
          <w:rFonts w:ascii="Arial" w:cs="Arial" w:eastAsia="Arial" w:hAnsi="Arial"/>
          <w:sz w:val="22"/>
          <w:szCs w:val="22"/>
          <w:u w:val="single" w:color="auto"/>
          <w:color w:val="auto"/>
        </w:rPr>
      </w:pPr>
      <w:r>
        <w:rPr>
          <w:rFonts w:ascii="Arial" w:cs="Arial" w:eastAsia="Arial" w:hAnsi="Arial"/>
          <w:sz w:val="22"/>
          <w:szCs w:val="22"/>
          <w:color w:val="auto"/>
        </w:rPr>
        <w:t>hereto.</w:t>
      </w:r>
    </w:p>
    <w:p>
      <w:pPr>
        <w:spacing w:after="0" w:line="242" w:lineRule="exact"/>
        <w:rPr>
          <w:sz w:val="20"/>
          <w:szCs w:val="20"/>
          <w:color w:val="auto"/>
        </w:rPr>
      </w:pPr>
    </w:p>
    <w:p>
      <w:pPr>
        <w:ind w:right="1080" w:firstLine="1305"/>
        <w:spacing w:after="0" w:line="287" w:lineRule="auto"/>
        <w:tabs>
          <w:tab w:leader="none" w:pos="2149" w:val="left"/>
        </w:tabs>
        <w:numPr>
          <w:ilvl w:val="0"/>
          <w:numId w:val="156"/>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this Award shall be, and the Grantee hereby acknowledges that it is, subject to and governed by all the terms and conditions of the Plan.</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60"/>
          </w:cols>
          <w:pgMar w:left="240" w:top="631" w:right="399" w:bottom="1440" w:gutter="0" w:footer="0" w:header="0"/>
        </w:sectPr>
      </w:pPr>
    </w:p>
    <w:bookmarkStart w:id="132" w:name="page133"/>
    <w:bookmarkEnd w:id="132"/>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40"/>
        <w:spacing w:after="0"/>
        <w:rPr>
          <w:sz w:val="20"/>
          <w:szCs w:val="20"/>
          <w:color w:val="auto"/>
        </w:rPr>
      </w:pPr>
      <w:r>
        <w:rPr>
          <w:rFonts w:ascii="Arial" w:cs="Arial" w:eastAsia="Arial" w:hAnsi="Arial"/>
          <w:sz w:val="22"/>
          <w:szCs w:val="22"/>
          <w:i w:val="1"/>
          <w:iCs w:val="1"/>
          <w:color w:val="auto"/>
        </w:rPr>
        <w:t>[RSU Award Agreement]</w:t>
      </w:r>
    </w:p>
    <w:p>
      <w:pPr>
        <w:sectPr>
          <w:pgSz w:w="11900" w:h="16838" w:orient="portrait"/>
          <w:cols w:equalWidth="0" w:num="1">
            <w:col w:w="10900"/>
          </w:cols>
          <w:pgMar w:left="240" w:top="888" w:right="75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10.17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PLAN</w:t>
      </w:r>
    </w:p>
    <w:p>
      <w:pPr>
        <w:spacing w:after="0" w:line="242"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 xml:space="preserve">Pursuant to the Affiliated Managers Group, Inc. incentive plan referred to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Plan</w:t>
      </w:r>
      <w:r>
        <w:rPr>
          <w:rFonts w:ascii="Arial" w:cs="Arial" w:eastAsia="Arial" w:hAnsi="Arial"/>
          <w:sz w:val="22"/>
          <w:szCs w:val="22"/>
          <w:color w:val="auto"/>
        </w:rPr>
        <w:t>”), and subject to the terms of 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Affiliated Managers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hereby grants to the grantee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Grantee</w:t>
      </w:r>
      <w:r>
        <w:rPr>
          <w:rFonts w:ascii="Arial" w:cs="Arial" w:eastAsia="Arial" w:hAnsi="Arial"/>
          <w:sz w:val="22"/>
          <w:szCs w:val="22"/>
          <w:color w:val="auto"/>
        </w:rPr>
        <w:t>”) a cash award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in the amount specified on </w:t>
      </w:r>
      <w:r>
        <w:rPr>
          <w:rFonts w:ascii="Arial" w:cs="Arial" w:eastAsia="Arial" w:hAnsi="Arial"/>
          <w:sz w:val="22"/>
          <w:szCs w:val="22"/>
          <w:u w:val="single" w:color="auto"/>
          <w:color w:val="auto"/>
        </w:rPr>
        <w:t>Exhibit A</w:t>
      </w:r>
      <w:r>
        <w:rPr>
          <w:rFonts w:ascii="Arial" w:cs="Arial" w:eastAsia="Arial" w:hAnsi="Arial"/>
          <w:sz w:val="22"/>
          <w:szCs w:val="22"/>
          <w:color w:val="auto"/>
        </w:rPr>
        <w:t>, to be issued and distributed to the Grantee according to the terms set forth herein and in the Plan, and the vesting schedule and performance requirements (if any) set forth herein.</w:t>
      </w:r>
    </w:p>
    <w:p>
      <w:pPr>
        <w:spacing w:after="0" w:line="233" w:lineRule="exact"/>
        <w:rPr>
          <w:sz w:val="20"/>
          <w:szCs w:val="20"/>
          <w:color w:val="auto"/>
        </w:rPr>
      </w:pPr>
    </w:p>
    <w:p>
      <w:pPr>
        <w:ind w:right="140" w:firstLine="1305"/>
        <w:spacing w:after="0" w:line="289" w:lineRule="auto"/>
        <w:tabs>
          <w:tab w:leader="none" w:pos="2107"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Hypothetical Investment</w:t>
      </w:r>
      <w:r>
        <w:rPr>
          <w:rFonts w:ascii="Arial" w:cs="Arial" w:eastAsia="Arial" w:hAnsi="Arial"/>
          <w:sz w:val="19"/>
          <w:szCs w:val="19"/>
          <w:color w:val="auto"/>
        </w:rPr>
        <w:t xml:space="preserve">. Upon the Grantee's election, the Award will be deemed to be invested in one or more hypothetical investments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If the Grantee does not affirmatively elect otherwise within five (5) business days of the Grant Date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 Date</w:t>
      </w:r>
      <w:r>
        <w:rPr>
          <w:rFonts w:ascii="Arial" w:cs="Arial" w:eastAsia="Arial" w:hAnsi="Arial"/>
          <w:sz w:val="19"/>
          <w:szCs w:val="19"/>
          <w:color w:val="auto"/>
        </w:rPr>
        <w:t>”), the Award shall be deemed to have been invested in shares of common stock, par value $0.01 per share, of the Company (such shares, the “</w:t>
      </w:r>
      <w:r>
        <w:rPr>
          <w:rFonts w:ascii="Arial" w:cs="Arial" w:eastAsia="Arial" w:hAnsi="Arial"/>
          <w:sz w:val="19"/>
          <w:szCs w:val="19"/>
          <w:u w:val="single" w:color="auto"/>
          <w:color w:val="auto"/>
        </w:rPr>
        <w:t>Shares</w:t>
      </w:r>
      <w:r>
        <w:rPr>
          <w:rFonts w:ascii="Arial" w:cs="Arial" w:eastAsia="Arial" w:hAnsi="Arial"/>
          <w:sz w:val="19"/>
          <w:szCs w:val="19"/>
          <w:color w:val="auto"/>
        </w:rPr>
        <w:t>,” and such hypothetical investment, “</w:t>
      </w:r>
      <w:r>
        <w:rPr>
          <w:rFonts w:ascii="Arial" w:cs="Arial" w:eastAsia="Arial" w:hAnsi="Arial"/>
          <w:sz w:val="19"/>
          <w:szCs w:val="19"/>
          <w:u w:val="single" w:color="auto"/>
          <w:color w:val="auto"/>
        </w:rPr>
        <w:t>Notional Shares</w:t>
      </w:r>
      <w:r>
        <w:rPr>
          <w:rFonts w:ascii="Arial" w:cs="Arial" w:eastAsia="Arial" w:hAnsi="Arial"/>
          <w:sz w:val="19"/>
          <w:szCs w:val="19"/>
          <w:color w:val="auto"/>
        </w:rPr>
        <w:t>”). The notional investment date shall be the Grant Date, and in the case of a hypothetical investment in Notional Shares, any increase or decrease in the value of the Award shall be determined from the closing price of the Shares as of the Grant Date. The Grantee acknowledges that he or she has a copy of the most recent Annual Report on Form 10-K, as supplemented, of the Company, or has elected not to obtain such information. The Grantee further acknowledges that the hypothetical investment feature of the Award may cause the value which vests under the Award to be lower than the value of the Award on the Grant Date.</w:t>
      </w:r>
    </w:p>
    <w:p>
      <w:pPr>
        <w:spacing w:after="0" w:line="198" w:lineRule="exact"/>
        <w:rPr>
          <w:rFonts w:ascii="Arial" w:cs="Arial" w:eastAsia="Arial" w:hAnsi="Arial"/>
          <w:sz w:val="19"/>
          <w:szCs w:val="19"/>
          <w:color w:val="auto"/>
        </w:rPr>
      </w:pPr>
    </w:p>
    <w:p>
      <w:pPr>
        <w:ind w:left="2120" w:hanging="815"/>
        <w:spacing w:after="0"/>
        <w:tabs>
          <w:tab w:leader="none" w:pos="212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60" w:lineRule="exact"/>
        <w:rPr>
          <w:sz w:val="20"/>
          <w:szCs w:val="20"/>
          <w:color w:val="auto"/>
        </w:rPr>
      </w:pPr>
    </w:p>
    <w:p>
      <w:pPr>
        <w:ind w:right="40" w:firstLine="1305"/>
        <w:spacing w:after="0" w:line="248" w:lineRule="auto"/>
        <w:tabs>
          <w:tab w:leader="none" w:pos="2185" w:val="left"/>
        </w:tabs>
        <w:numPr>
          <w:ilvl w:val="0"/>
          <w:numId w:val="158"/>
        </w:numPr>
        <w:rPr>
          <w:rFonts w:ascii="Arial" w:cs="Arial" w:eastAsia="Arial" w:hAnsi="Arial"/>
          <w:sz w:val="22"/>
          <w:szCs w:val="22"/>
          <w:color w:val="auto"/>
        </w:rPr>
      </w:pPr>
      <w:r>
        <w:rPr>
          <w:rFonts w:ascii="Arial" w:cs="Arial" w:eastAsia="Arial" w:hAnsi="Arial"/>
          <w:sz w:val="22"/>
          <w:szCs w:val="22"/>
          <w:i w:val="1"/>
          <w:iCs w:val="1"/>
          <w:u w:val="single" w:color="auto"/>
          <w:color w:val="auto"/>
        </w:rPr>
        <w:t>Vesting</w:t>
      </w:r>
      <w:r>
        <w:rPr>
          <w:rFonts w:ascii="Arial" w:cs="Arial" w:eastAsia="Arial" w:hAnsi="Arial"/>
          <w:sz w:val="22"/>
          <w:szCs w:val="22"/>
          <w:color w:val="auto"/>
        </w:rPr>
        <w:t>. Subject to the discretion of the Administrator to accelerate the vesting schedule, the Award shall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vest in the amounts and on the dates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Grantee’s Employment is through the applicable vesting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In addition, if this Award is subject to a Performance Measure (but not otherwise), Section 2(b) shall apply. For the avoidance of doubt, the vesting of the Award may be accelerated automatically in certain circumstances described herein.</w:t>
      </w:r>
    </w:p>
    <w:p>
      <w:pPr>
        <w:spacing w:after="0" w:line="232" w:lineRule="exact"/>
        <w:rPr>
          <w:rFonts w:ascii="Arial" w:cs="Arial" w:eastAsia="Arial" w:hAnsi="Arial"/>
          <w:sz w:val="22"/>
          <w:szCs w:val="22"/>
          <w:color w:val="auto"/>
        </w:rPr>
      </w:pPr>
    </w:p>
    <w:p>
      <w:pPr>
        <w:ind w:right="220" w:firstLine="1305"/>
        <w:spacing w:after="0" w:line="289" w:lineRule="auto"/>
        <w:tabs>
          <w:tab w:leader="none" w:pos="219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Award shall be settled pursuant to Section 6 only if the Award has vested in accordance with Section 2(a) and the Compensation Committee has certified the attainment of the Performance Measure with respect to all or any portion thereof; it being understood that if vesting of the Award is accelerated pursuant to Section 2(c)(y) or 4(a)(ii) hereof, such vested portion of the Award shall remain subject to the attainment of the Performance Measure and such vested portion of the Award shall not be settled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Award (including any portion of the Award that has vested pursuant to Section 2(c)(y) or 4(a)(ii) hereof), this Award shall terminate immediately and be of no further force or effect with respect to the entire Award or such portion thereof, as applicable.</w:t>
      </w:r>
    </w:p>
    <w:p>
      <w:pPr>
        <w:spacing w:after="0" w:line="198" w:lineRule="exact"/>
        <w:rPr>
          <w:rFonts w:ascii="Arial" w:cs="Arial" w:eastAsia="Arial" w:hAnsi="Arial"/>
          <w:sz w:val="19"/>
          <w:szCs w:val="19"/>
          <w:color w:val="auto"/>
        </w:rPr>
      </w:pPr>
    </w:p>
    <w:p>
      <w:pPr>
        <w:ind w:right="780" w:firstLine="1305"/>
        <w:spacing w:after="0" w:line="263" w:lineRule="auto"/>
        <w:tabs>
          <w:tab w:leader="none" w:pos="2185"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Notwithstanding anything to the contrary herein or in the Plan, in the event of termination of Grantee’s Employment (i) by the Company without Cause or (ii) by the</w:t>
      </w:r>
    </w:p>
    <w:p>
      <w:pPr>
        <w:sectPr>
          <w:pgSz w:w="11900" w:h="16838" w:orient="portrait"/>
          <w:cols w:equalWidth="0" w:num="1">
            <w:col w:w="11420"/>
          </w:cols>
          <w:pgMar w:left="240" w:top="625" w:right="239" w:bottom="1440" w:gutter="0" w:footer="0" w:header="0"/>
        </w:sectPr>
      </w:pPr>
    </w:p>
    <w:bookmarkStart w:id="134" w:name="page135"/>
    <w:bookmarkEnd w:id="134"/>
    <w:p>
      <w:pPr>
        <w:spacing w:after="0" w:line="258" w:lineRule="auto"/>
        <w:rPr>
          <w:sz w:val="20"/>
          <w:szCs w:val="20"/>
          <w:color w:val="auto"/>
        </w:rPr>
      </w:pPr>
      <w:r>
        <w:rPr>
          <w:rFonts w:ascii="Arial" w:cs="Arial" w:eastAsia="Arial" w:hAnsi="Arial"/>
          <w:sz w:val="21"/>
          <w:szCs w:val="21"/>
          <w:color w:val="auto"/>
        </w:rPr>
        <w:t xml:space="preserve">Grantee for Good Reason, in either case occurring within the two-year period following a Change of Control, this Award shall automatically fully vest at the time of such termination;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if this Award is subject to a Performance Measure, it shall only vest pursuant to Section 2(b) if (x) the Compensation Committee has certified that the Performance Measure has been attained on or before the date of termination, and in such case shall be settled at the time of such termination in the amount indicated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(y) the attainment of the Performance Measure is not yet determinable as of such date, and in such case shall fully vest at the time of such termination but the vested portion of the Award shall remain subject to the attainment of the Performance Measure and such vested portion of the Award shall not be settled unless and until the Compensation Committee has certified that the Performance Measure has been attained (and the Award shall be settled at the time of such certification (if any)). (For the avoidance of doubt, </w:t>
      </w:r>
      <w:r>
        <w:rPr>
          <w:rFonts w:ascii="Arial" w:cs="Arial" w:eastAsia="Arial" w:hAnsi="Arial"/>
          <w:sz w:val="21"/>
          <w:szCs w:val="21"/>
          <w:i w:val="1"/>
          <w:iCs w:val="1"/>
          <w:color w:val="auto"/>
        </w:rPr>
        <w:t>if</w:t>
      </w:r>
      <w:r>
        <w:rPr>
          <w:rFonts w:ascii="Arial" w:cs="Arial" w:eastAsia="Arial" w:hAnsi="Arial"/>
          <w:sz w:val="21"/>
          <w:szCs w:val="21"/>
          <w:color w:val="auto"/>
        </w:rPr>
        <w:t xml:space="preserve"> the Award is subject to a Performance Measure that the Compensation Committee has certified has </w:t>
      </w:r>
      <w:r>
        <w:rPr>
          <w:rFonts w:ascii="Arial" w:cs="Arial" w:eastAsia="Arial" w:hAnsi="Arial"/>
          <w:sz w:val="21"/>
          <w:szCs w:val="21"/>
          <w:i w:val="1"/>
          <w:iCs w:val="1"/>
          <w:color w:val="auto"/>
        </w:rPr>
        <w:t>not</w:t>
      </w:r>
      <w:r>
        <w:rPr>
          <w:rFonts w:ascii="Arial" w:cs="Arial" w:eastAsia="Arial" w:hAnsi="Arial"/>
          <w:sz w:val="21"/>
          <w:szCs w:val="21"/>
          <w:color w:val="auto"/>
        </w:rPr>
        <w:t xml:space="preserve"> been attained with respect to all or any portion thereof, this Award shall terminate in whole or in part, as applicable, in accordance with Section 2(b) hereof.)</w:t>
      </w:r>
    </w:p>
    <w:p>
      <w:pPr>
        <w:spacing w:after="0" w:line="224" w:lineRule="exact"/>
        <w:rPr>
          <w:sz w:val="20"/>
          <w:szCs w:val="20"/>
          <w:color w:val="auto"/>
        </w:rPr>
      </w:pPr>
    </w:p>
    <w:p>
      <w:pPr>
        <w:ind w:right="60" w:firstLine="1305"/>
        <w:spacing w:after="0" w:line="253" w:lineRule="auto"/>
        <w:tabs>
          <w:tab w:leader="none" w:pos="2107"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226" w:lineRule="exact"/>
        <w:rPr>
          <w:sz w:val="20"/>
          <w:szCs w:val="20"/>
          <w:color w:val="auto"/>
        </w:rPr>
      </w:pPr>
    </w:p>
    <w:p>
      <w:pPr>
        <w:ind w:left="2200" w:hanging="895"/>
        <w:spacing w:after="0"/>
        <w:tabs>
          <w:tab w:leader="none" w:pos="220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Administrator</w:t>
      </w:r>
      <w:r>
        <w:rPr>
          <w:rFonts w:ascii="Arial" w:cs="Arial" w:eastAsia="Arial" w:hAnsi="Arial"/>
          <w:sz w:val="19"/>
          <w:szCs w:val="19"/>
          <w:color w:val="auto"/>
        </w:rPr>
        <w:t>” shall be defined as the Compensation Committee and, as applicable, any permitted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delegate thereof.</w:t>
      </w:r>
    </w:p>
    <w:p>
      <w:pPr>
        <w:spacing w:after="0" w:line="242" w:lineRule="exact"/>
        <w:rPr>
          <w:rFonts w:ascii="Arial" w:cs="Arial" w:eastAsia="Arial" w:hAnsi="Arial"/>
          <w:sz w:val="19"/>
          <w:szCs w:val="19"/>
          <w:color w:val="auto"/>
        </w:rPr>
      </w:pPr>
    </w:p>
    <w:p>
      <w:pPr>
        <w:ind w:right="100" w:firstLine="1305"/>
        <w:spacing w:after="0" w:line="253" w:lineRule="auto"/>
        <w:tabs>
          <w:tab w:leader="none" w:pos="219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shall mean any corporation or other entity that stands in a relationship to the Company that would result in the Company and such corporation or other entity being treated as one employer under Section 414(b) and Section 414(c) of the Code.</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60" w:lineRule="exact"/>
        <w:rPr>
          <w:rFonts w:ascii="Arial" w:cs="Arial" w:eastAsia="Arial" w:hAnsi="Arial"/>
          <w:sz w:val="22"/>
          <w:szCs w:val="22"/>
          <w:color w:val="auto"/>
        </w:rPr>
      </w:pPr>
    </w:p>
    <w:p>
      <w:pPr>
        <w:ind w:right="480" w:firstLine="1953"/>
        <w:spacing w:after="0" w:line="312" w:lineRule="auto"/>
        <w:tabs>
          <w:tab w:leader="none" w:pos="2707"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74" w:lineRule="exact"/>
        <w:rPr>
          <w:rFonts w:ascii="Arial" w:cs="Arial" w:eastAsia="Arial" w:hAnsi="Arial"/>
          <w:sz w:val="19"/>
          <w:szCs w:val="19"/>
          <w:color w:val="auto"/>
        </w:rPr>
      </w:pPr>
    </w:p>
    <w:p>
      <w:pPr>
        <w:ind w:left="2780" w:hanging="827"/>
        <w:spacing w:after="0"/>
        <w:tabs>
          <w:tab w:leader="none" w:pos="27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Grantee’s willful or grossly negligent failure to perform duties owed to the Company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42" w:lineRule="exact"/>
        <w:rPr>
          <w:rFonts w:ascii="Arial" w:cs="Arial" w:eastAsia="Arial" w:hAnsi="Arial"/>
          <w:sz w:val="19"/>
          <w:szCs w:val="19"/>
          <w:color w:val="auto"/>
        </w:rPr>
      </w:pPr>
    </w:p>
    <w:p>
      <w:pPr>
        <w:ind w:right="300" w:firstLine="1953"/>
        <w:spacing w:after="0" w:line="253" w:lineRule="auto"/>
        <w:tabs>
          <w:tab w:leader="none" w:pos="2827" w:val="left"/>
        </w:tabs>
        <w:numPr>
          <w:ilvl w:val="1"/>
          <w:numId w:val="160"/>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226" w:lineRule="exact"/>
        <w:rPr>
          <w:rFonts w:ascii="Arial" w:cs="Arial" w:eastAsia="Arial" w:hAnsi="Arial"/>
          <w:sz w:val="22"/>
          <w:szCs w:val="22"/>
          <w:color w:val="auto"/>
        </w:rPr>
      </w:pPr>
    </w:p>
    <w:p>
      <w:pPr>
        <w:ind w:right="640" w:firstLine="1953"/>
        <w:spacing w:after="0" w:line="271" w:lineRule="auto"/>
        <w:tabs>
          <w:tab w:leader="none" w:pos="2801" w:val="left"/>
        </w:tabs>
        <w:numPr>
          <w:ilvl w:val="1"/>
          <w:numId w:val="160"/>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208" w:lineRule="exact"/>
        <w:rPr>
          <w:rFonts w:ascii="Arial" w:cs="Arial" w:eastAsia="Arial" w:hAnsi="Arial"/>
          <w:sz w:val="21"/>
          <w:szCs w:val="21"/>
          <w:color w:val="auto"/>
        </w:rPr>
      </w:pPr>
    </w:p>
    <w:p>
      <w:pPr>
        <w:ind w:right="220" w:firstLine="1953"/>
        <w:spacing w:after="0" w:line="250" w:lineRule="auto"/>
        <w:tabs>
          <w:tab w:leader="none" w:pos="2795" w:val="left"/>
        </w:tabs>
        <w:numPr>
          <w:ilvl w:val="1"/>
          <w:numId w:val="160"/>
        </w:numPr>
        <w:rPr>
          <w:rFonts w:ascii="Arial" w:cs="Arial" w:eastAsia="Arial" w:hAnsi="Arial"/>
          <w:sz w:val="22"/>
          <w:szCs w:val="22"/>
          <w:color w:val="auto"/>
        </w:rPr>
      </w:pPr>
      <w:r>
        <w:rPr>
          <w:rFonts w:ascii="Arial" w:cs="Arial" w:eastAsia="Arial" w:hAnsi="Arial"/>
          <w:sz w:val="22"/>
          <w:szCs w:val="22"/>
          <w:color w:val="auto"/>
        </w:rPr>
        <w:t>for purposes of Section 9(a), “Cause” also means the occurrence of any of the following, as determined by the Company: (a) the Grantee’s performance of his or her duties and responsibilities to the Company or its subsidiaries or Affiliates, as applicable, in a manner deemed by the Company to be in any way unsatisfactory and/or inconsistent with the needs of the business; (b) the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631" w:right="299" w:bottom="1440" w:gutter="0" w:footer="0" w:header="0"/>
        </w:sectPr>
      </w:pPr>
    </w:p>
    <w:bookmarkStart w:id="135" w:name="page136"/>
    <w:bookmarkEnd w:id="135"/>
    <w:p>
      <w:pPr>
        <w:ind w:right="100"/>
        <w:spacing w:after="0" w:line="250" w:lineRule="auto"/>
        <w:rPr>
          <w:sz w:val="20"/>
          <w:szCs w:val="20"/>
          <w:color w:val="auto"/>
        </w:rPr>
      </w:pPr>
      <w:r>
        <w:rPr>
          <w:rFonts w:ascii="Arial" w:cs="Arial" w:eastAsia="Arial" w:hAnsi="Arial"/>
          <w:sz w:val="22"/>
          <w:szCs w:val="22"/>
          <w:color w:val="auto"/>
        </w:rPr>
        <w:t>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 have been terminated for Cause retroactively to the date the events giving rise to such Cause occurred. Notwithstanding the foregoing, if Grantee is party to an employment, severance-benefit, change of control or similar agreement with the Company that contains a definition of “Cause” (or a correlative term), such definition will apply (in the case of such Grantee for purposes of this Agreement) in lieu of Section 3(c)(i) through (iv) of the definition of “Cause” set forth above during the term of such other agreement,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Section 3(c)(v) of the definition set forth above will always apply for purposes of this Agreement.</w:t>
      </w:r>
    </w:p>
    <w:p>
      <w:pPr>
        <w:spacing w:after="0" w:line="158" w:lineRule="exact"/>
        <w:rPr>
          <w:sz w:val="20"/>
          <w:szCs w:val="20"/>
          <w:color w:val="auto"/>
        </w:rPr>
      </w:pPr>
    </w:p>
    <w:p>
      <w:pPr>
        <w:ind w:firstLine="1305"/>
        <w:spacing w:after="0" w:line="287" w:lineRule="auto"/>
        <w:tabs>
          <w:tab w:leader="none" w:pos="219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shall mean the occurrence of any one of the following two events: (i) any “person,” as such term is used in Sections 13(d) and 14(d) of the Exchange Act (other than the Company, any of its Affiliates, or any trustee, fiduciary or other person or entity holding securities under any employee benefit plan or trust of the Company or any of its Affiliates),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percent or more of the combined voting power of the Company’s then outstanding securities having the right to vote in an election of the Company’s Board of Directors (“</w:t>
      </w:r>
      <w:r>
        <w:rPr>
          <w:rFonts w:ascii="Arial" w:cs="Arial" w:eastAsia="Arial" w:hAnsi="Arial"/>
          <w:sz w:val="19"/>
          <w:szCs w:val="19"/>
          <w:u w:val="single" w:color="auto"/>
          <w:color w:val="auto"/>
        </w:rPr>
        <w:t>Voting Securities</w:t>
      </w:r>
      <w:r>
        <w:rPr>
          <w:rFonts w:ascii="Arial" w:cs="Arial" w:eastAsia="Arial" w:hAnsi="Arial"/>
          <w:sz w:val="19"/>
          <w:szCs w:val="19"/>
          <w:color w:val="auto"/>
        </w:rPr>
        <w:t>”) (in such case other than as a result of an acquisition of securities directly from the Company); or (ii) the consummation of (A) any consolidation or merger of the Company where the stockholders of the Company, immediately prior to the consolidation or merger, would not, immediately after the consolidation or merger, beneficially own (as such term is defined in Rule 13d-3 under the Exchange Act), directly or indirectly, shares representing in the aggregate 50 percent or more of the voting shares of the corporation (or other business entity) issuing cash or securities in the consolidation or merger (or of its ultimate parent, if any), (B) any sale, lease, exchange or other transfer (in one transaction or a series of transactions contemplated or arranged by any party as a single plan) of all or substantially all of the assets of the Company or (C) the liquidation or dissolution of the Company.</w:t>
      </w:r>
    </w:p>
    <w:p>
      <w:pPr>
        <w:spacing w:after="0" w:line="205"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 xml:space="preserve">Notwithstanding the foregoing, a “Change of Control” shall not be deemed to have occurred for purposes of the foregoing subsection (d)(i) solely as the result of an acquisition of securities by the Company which, by reducing the number of shares of Voting Securities outstanding, increases the proportionate number of shares of Voting Securities beneficially owned by any person to 25 percent or more of the combined voting power of all then outstanding Voting Securities; </w:t>
      </w:r>
      <w:r>
        <w:rPr>
          <w:rFonts w:ascii="Arial" w:cs="Arial" w:eastAsia="Arial" w:hAnsi="Arial"/>
          <w:sz w:val="19"/>
          <w:szCs w:val="19"/>
          <w:u w:val="single" w:color="auto"/>
          <w:color w:val="auto"/>
        </w:rPr>
        <w:t>provided that</w:t>
      </w:r>
      <w:r>
        <w:rPr>
          <w:rFonts w:ascii="Arial" w:cs="Arial" w:eastAsia="Arial" w:hAnsi="Arial"/>
          <w:sz w:val="19"/>
          <w:szCs w:val="19"/>
          <w:color w:val="auto"/>
        </w:rPr>
        <w: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then a “Change of Control” shall be deemed to have occurred for purposes of the foregoing subsection (d)(i).</w:t>
      </w:r>
    </w:p>
    <w:p>
      <w:pPr>
        <w:spacing w:after="0" w:line="151" w:lineRule="exact"/>
        <w:rPr>
          <w:sz w:val="20"/>
          <w:szCs w:val="20"/>
          <w:color w:val="auto"/>
        </w:rPr>
      </w:pPr>
    </w:p>
    <w:p>
      <w:pPr>
        <w:ind w:left="2200" w:hanging="895"/>
        <w:spacing w:after="0"/>
        <w:tabs>
          <w:tab w:leader="none" w:pos="22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631" w:right="299" w:bottom="1440" w:gutter="0" w:footer="0" w:header="0"/>
        </w:sectPr>
      </w:pPr>
    </w:p>
    <w:bookmarkStart w:id="136" w:name="page137"/>
    <w:bookmarkEnd w:id="136"/>
    <w:p>
      <w:pPr>
        <w:ind w:left="-20" w:right="160" w:firstLine="1953"/>
        <w:spacing w:after="0" w:line="294" w:lineRule="auto"/>
        <w:tabs>
          <w:tab w:leader="none" w:pos="268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and its subsidiaries and Affiliates), directors, officers or employees of such Client or any such subsidiaries or Affiliates thereof, or Persons who are members of the immediate family of such Client or any of the other foregoing Persons or Affiliates of any of them;</w:t>
      </w:r>
    </w:p>
    <w:p>
      <w:pPr>
        <w:spacing w:after="0" w:line="190" w:lineRule="exact"/>
        <w:rPr>
          <w:rFonts w:ascii="Arial" w:cs="Arial" w:eastAsia="Arial" w:hAnsi="Arial"/>
          <w:sz w:val="19"/>
          <w:szCs w:val="19"/>
          <w:color w:val="auto"/>
        </w:rPr>
      </w:pPr>
    </w:p>
    <w:p>
      <w:pPr>
        <w:ind w:left="-20" w:right="20" w:firstLine="1953"/>
        <w:spacing w:after="0" w:line="292" w:lineRule="auto"/>
        <w:tabs>
          <w:tab w:leader="none" w:pos="274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 its subsidiaries and Affiliates), in the case of any Fund, an investor therein shall not be deemed a Present Client or Past Client (as applicable) hereunder);</w:t>
      </w:r>
    </w:p>
    <w:p>
      <w:pPr>
        <w:spacing w:after="0" w:line="192" w:lineRule="exact"/>
        <w:rPr>
          <w:rFonts w:ascii="Arial" w:cs="Arial" w:eastAsia="Arial" w:hAnsi="Arial"/>
          <w:sz w:val="19"/>
          <w:szCs w:val="19"/>
          <w:color w:val="auto"/>
        </w:rPr>
      </w:pPr>
    </w:p>
    <w:p>
      <w:pPr>
        <w:ind w:left="-20" w:right="120" w:firstLine="1953"/>
        <w:spacing w:after="0" w:line="297" w:lineRule="auto"/>
        <w:tabs>
          <w:tab w:leader="none" w:pos="280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and its subsidiaries and Affiliates), any Person who is a beneficiary of such Client and the Affiliates and immediate family members of any such Persons;</w:t>
      </w:r>
    </w:p>
    <w:p>
      <w:pPr>
        <w:spacing w:after="0" w:line="187" w:lineRule="exact"/>
        <w:rPr>
          <w:rFonts w:ascii="Arial" w:cs="Arial" w:eastAsia="Arial" w:hAnsi="Arial"/>
          <w:sz w:val="19"/>
          <w:szCs w:val="19"/>
          <w:color w:val="auto"/>
        </w:rPr>
      </w:pPr>
    </w:p>
    <w:p>
      <w:pPr>
        <w:ind w:left="-20" w:right="120" w:firstLine="1953"/>
        <w:spacing w:after="0" w:line="260" w:lineRule="auto"/>
        <w:tabs>
          <w:tab w:leader="none" w:pos="2781" w:val="left"/>
        </w:tabs>
        <w:numPr>
          <w:ilvl w:val="1"/>
          <w:numId w:val="163"/>
        </w:numPr>
        <w:rPr>
          <w:rFonts w:ascii="Arial" w:cs="Arial" w:eastAsia="Arial" w:hAnsi="Arial"/>
          <w:sz w:val="21"/>
          <w:szCs w:val="21"/>
          <w:color w:val="auto"/>
        </w:rPr>
      </w:pPr>
      <w:r>
        <w:rPr>
          <w:rFonts w:ascii="Arial" w:cs="Arial" w:eastAsia="Arial" w:hAnsi="Arial"/>
          <w:sz w:val="21"/>
          <w:szCs w:val="21"/>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1"/>
          <w:szCs w:val="21"/>
          <w:u w:val="single" w:color="auto"/>
          <w:color w:val="auto"/>
        </w:rPr>
        <w:t>provided that</w:t>
      </w:r>
      <w:r>
        <w:rPr>
          <w:rFonts w:ascii="Arial" w:cs="Arial" w:eastAsia="Arial" w:hAnsi="Arial"/>
          <w:sz w:val="21"/>
          <w:szCs w:val="21"/>
          <w:color w:val="auto"/>
        </w:rPr>
        <w:t>, except to the extent the Grantee had knowledge of the identity of a participant therein while the Grantee was employed by the Company and its subsidiaries and Affiliates (and the Grantee shall be deemed to have had such knowledge if the Grantee would reasonably have been expected to have had such knowledge in the ordinary course of the Grantee’s duties while the Grantee was employed by the Company and/or its subsidiaries or its Affiliates), a participant therein shall not be deemed a Present Client or Past Client (as applicable) hereunder); and</w:t>
      </w:r>
    </w:p>
    <w:p>
      <w:pPr>
        <w:spacing w:after="0" w:line="221" w:lineRule="exact"/>
        <w:rPr>
          <w:rFonts w:ascii="Arial" w:cs="Arial" w:eastAsia="Arial" w:hAnsi="Arial"/>
          <w:sz w:val="21"/>
          <w:szCs w:val="21"/>
          <w:color w:val="auto"/>
        </w:rPr>
      </w:pPr>
    </w:p>
    <w:p>
      <w:pPr>
        <w:jc w:val="both"/>
        <w:ind w:left="-20" w:right="240" w:firstLine="1953"/>
        <w:spacing w:after="0" w:line="312" w:lineRule="auto"/>
        <w:tabs>
          <w:tab w:leader="none" w:pos="2721" w:val="left"/>
        </w:tabs>
        <w:numPr>
          <w:ilvl w:val="1"/>
          <w:numId w:val="163"/>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74" w:lineRule="exact"/>
        <w:rPr>
          <w:rFonts w:ascii="Arial" w:cs="Arial" w:eastAsia="Arial" w:hAnsi="Arial"/>
          <w:sz w:val="19"/>
          <w:szCs w:val="19"/>
          <w:color w:val="auto"/>
        </w:rPr>
      </w:pPr>
    </w:p>
    <w:p>
      <w:pPr>
        <w:ind w:left="-20" w:right="160" w:firstLine="1305"/>
        <w:spacing w:after="0" w:line="263" w:lineRule="auto"/>
        <w:tabs>
          <w:tab w:leader="none" w:pos="2141"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shall mean the U.S. Internal Revenue Code of 1986, as from time to time amended and in effect,</w:t>
      </w:r>
      <w:r>
        <w:rPr>
          <w:rFonts w:ascii="Arial" w:cs="Arial" w:eastAsia="Arial" w:hAnsi="Arial"/>
          <w:sz w:val="22"/>
          <w:szCs w:val="22"/>
          <w:i w:val="1"/>
          <w:iCs w:val="1"/>
          <w:color w:val="auto"/>
        </w:rPr>
        <w:t xml:space="preserve"> </w:t>
      </w:r>
      <w:r>
        <w:rPr>
          <w:rFonts w:ascii="Arial" w:cs="Arial" w:eastAsia="Arial" w:hAnsi="Arial"/>
          <w:sz w:val="22"/>
          <w:szCs w:val="22"/>
          <w:color w:val="auto"/>
        </w:rPr>
        <w:t>or any successor statute as from time to time in effect.</w:t>
      </w:r>
    </w:p>
    <w:p>
      <w:pPr>
        <w:spacing w:after="0" w:line="215" w:lineRule="exact"/>
        <w:rPr>
          <w:rFonts w:ascii="Arial" w:cs="Arial" w:eastAsia="Arial" w:hAnsi="Arial"/>
          <w:sz w:val="22"/>
          <w:szCs w:val="22"/>
          <w:color w:val="auto"/>
        </w:rPr>
      </w:pPr>
    </w:p>
    <w:p>
      <w:pPr>
        <w:jc w:val="both"/>
        <w:ind w:left="-20" w:firstLine="1305"/>
        <w:spacing w:after="0" w:line="271" w:lineRule="auto"/>
        <w:tabs>
          <w:tab w:leader="none" w:pos="2177" w:val="left"/>
        </w:tabs>
        <w:numPr>
          <w:ilvl w:val="0"/>
          <w:numId w:val="1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Covered Transaction</w:t>
      </w:r>
      <w:r>
        <w:rPr>
          <w:rFonts w:ascii="Arial" w:cs="Arial" w:eastAsia="Arial" w:hAnsi="Arial"/>
          <w:sz w:val="21"/>
          <w:szCs w:val="21"/>
          <w:color w:val="auto"/>
        </w:rPr>
        <w:t>” shall mean a consolidation or merger or a sale, lease, exchange or other transfer of all or substantially all of the assets of the Company in which outstanding Shares are exchanged for securities, cash or other property of an unrelated corporation (or other business entity) or a liquidation of the Company.</w:t>
      </w:r>
    </w:p>
    <w:p>
      <w:pPr>
        <w:spacing w:after="0" w:line="208" w:lineRule="exact"/>
        <w:rPr>
          <w:rFonts w:ascii="Arial" w:cs="Arial" w:eastAsia="Arial" w:hAnsi="Arial"/>
          <w:sz w:val="21"/>
          <w:szCs w:val="21"/>
          <w:color w:val="auto"/>
        </w:rPr>
      </w:pPr>
    </w:p>
    <w:p>
      <w:pPr>
        <w:ind w:left="-20" w:right="140" w:firstLine="1305"/>
        <w:spacing w:after="0" w:line="263" w:lineRule="auto"/>
        <w:tabs>
          <w:tab w:leader="none" w:pos="217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Employment</w:t>
      </w:r>
      <w:r>
        <w:rPr>
          <w:rFonts w:ascii="Arial" w:cs="Arial" w:eastAsia="Arial" w:hAnsi="Arial"/>
          <w:sz w:val="22"/>
          <w:szCs w:val="22"/>
          <w:color w:val="auto"/>
        </w:rPr>
        <w:t>” shall mean the Grantee’s employment or other service relationship with the Company and its Affiliates. Employment will be deemed to continue, unless the Administrator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31" w:right="239" w:bottom="1440" w:gutter="0" w:footer="0" w:header="0"/>
        </w:sectPr>
      </w:pPr>
    </w:p>
    <w:bookmarkStart w:id="137" w:name="page138"/>
    <w:bookmarkEnd w:id="137"/>
    <w:p>
      <w:pPr>
        <w:ind w:right="20"/>
        <w:spacing w:after="0" w:line="287" w:lineRule="auto"/>
        <w:rPr>
          <w:sz w:val="20"/>
          <w:szCs w:val="20"/>
          <w:color w:val="auto"/>
        </w:rPr>
      </w:pPr>
      <w:r>
        <w:rPr>
          <w:rFonts w:ascii="Arial" w:cs="Arial" w:eastAsia="Arial" w:hAnsi="Arial"/>
          <w:sz w:val="19"/>
          <w:szCs w:val="19"/>
          <w:color w:val="auto"/>
        </w:rPr>
        <w:t>expressly provides otherwise, so long as the Grantee is employed by, or otherwise providing services to, the Company or its Affiliates. If the Grantee’s employment or other service relationship is with an Affiliate and that entity ceases to be an Affiliate, the Grantee’s Employment will be deemed to have terminated when the entity ceases to be an Affiliate unless the Grantee transfers Employment to the Company or its remaining Affiliates. Notwithstanding the foregoing and the definition of “Affiliate” above, in construing the provisions of this Award relating to the payment of “nonqualified deferred compensation” (subject to Code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all other corporations and trades or businesses, if any, that would be treated as a single “service recipient” with the Company under Section 1.409A(h)(3) of the Treasury Regulations. The Company may, but need not, elect in writing, subject to the applicable limitations under Code Section 409A, any of the special elective rules prescribed in Section 1.409A-1(h) of the Treasury Regulations for purposes of determining whether a “separation from service” has occurred. Any such written election shall be deemed a part of the Plan.</w:t>
      </w:r>
    </w:p>
    <w:p>
      <w:pPr>
        <w:spacing w:after="0" w:line="201" w:lineRule="exact"/>
        <w:rPr>
          <w:sz w:val="20"/>
          <w:szCs w:val="20"/>
          <w:color w:val="auto"/>
        </w:rPr>
      </w:pPr>
    </w:p>
    <w:p>
      <w:pPr>
        <w:ind w:left="2160" w:hanging="855"/>
        <w:spacing w:after="0"/>
        <w:tabs>
          <w:tab w:leader="none" w:pos="21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shall mean the Securities Exchange Act of 1934, as amended.</w:t>
      </w:r>
    </w:p>
    <w:p>
      <w:pPr>
        <w:spacing w:after="0" w:line="260" w:lineRule="exact"/>
        <w:rPr>
          <w:rFonts w:ascii="Arial" w:cs="Arial" w:eastAsia="Arial" w:hAnsi="Arial"/>
          <w:sz w:val="22"/>
          <w:szCs w:val="22"/>
          <w:color w:val="auto"/>
        </w:rPr>
      </w:pPr>
    </w:p>
    <w:p>
      <w:pPr>
        <w:ind w:right="80" w:firstLine="1305"/>
        <w:spacing w:after="0" w:line="312" w:lineRule="auto"/>
        <w:tabs>
          <w:tab w:leader="none" w:pos="2149"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Fund</w:t>
      </w:r>
      <w:r>
        <w:rPr>
          <w:rFonts w:ascii="Arial" w:cs="Arial" w:eastAsia="Arial" w:hAnsi="Arial"/>
          <w:sz w:val="19"/>
          <w:szCs w:val="19"/>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174" w:lineRule="exact"/>
        <w:rPr>
          <w:rFonts w:ascii="Arial" w:cs="Arial" w:eastAsia="Arial" w:hAnsi="Arial"/>
          <w:sz w:val="19"/>
          <w:szCs w:val="19"/>
          <w:color w:val="auto"/>
        </w:rPr>
      </w:pPr>
    </w:p>
    <w:p>
      <w:pPr>
        <w:ind w:right="60" w:firstLine="1305"/>
        <w:spacing w:after="0" w:line="250" w:lineRule="auto"/>
        <w:tabs>
          <w:tab w:leader="none" w:pos="219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28" w:lineRule="exact"/>
        <w:rPr>
          <w:rFonts w:ascii="Arial" w:cs="Arial" w:eastAsia="Arial" w:hAnsi="Arial"/>
          <w:sz w:val="22"/>
          <w:szCs w:val="22"/>
          <w:color w:val="auto"/>
        </w:rPr>
      </w:pPr>
    </w:p>
    <w:p>
      <w:pPr>
        <w:ind w:left="2720" w:hanging="767"/>
        <w:spacing w:after="0"/>
        <w:tabs>
          <w:tab w:leader="none" w:pos="272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94" w:lineRule="exact"/>
        <w:rPr>
          <w:rFonts w:ascii="Arial" w:cs="Arial" w:eastAsia="Arial" w:hAnsi="Arial"/>
          <w:sz w:val="19"/>
          <w:szCs w:val="19"/>
          <w:color w:val="auto"/>
        </w:rPr>
      </w:pPr>
    </w:p>
    <w:p>
      <w:pPr>
        <w:ind w:right="180" w:firstLine="1953"/>
        <w:spacing w:after="0" w:line="263" w:lineRule="auto"/>
        <w:tabs>
          <w:tab w:leader="none" w:pos="276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215" w:lineRule="exact"/>
        <w:rPr>
          <w:rFonts w:ascii="Arial" w:cs="Arial" w:eastAsia="Arial" w:hAnsi="Arial"/>
          <w:sz w:val="22"/>
          <w:szCs w:val="22"/>
          <w:color w:val="auto"/>
        </w:rPr>
      </w:pPr>
    </w:p>
    <w:p>
      <w:pPr>
        <w:ind w:right="100" w:firstLine="1953"/>
        <w:spacing w:after="0" w:line="263" w:lineRule="auto"/>
        <w:tabs>
          <w:tab w:leader="none" w:pos="28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w:t>
      </w:r>
    </w:p>
    <w:p>
      <w:pPr>
        <w:spacing w:after="0" w:line="215"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Notwithstanding the foregoing, if the Grantee is party to an employment, severance-benefit, change of control or similar agreement with the Company or any subsidiary thereof that contains a definition of “Good Reason” (or a correlative term), such definition will apply (in the case of the Grantee for purposes of this Agreement) in lieu of the definition set forth above during the term of such agreement.</w:t>
      </w:r>
    </w:p>
    <w:p>
      <w:pPr>
        <w:spacing w:after="0" w:line="188" w:lineRule="exact"/>
        <w:rPr>
          <w:sz w:val="20"/>
          <w:szCs w:val="20"/>
          <w:color w:val="auto"/>
        </w:rPr>
      </w:pPr>
    </w:p>
    <w:p>
      <w:pPr>
        <w:ind w:right="80" w:firstLine="1305"/>
        <w:spacing w:after="0" w:line="250" w:lineRule="auto"/>
        <w:tabs>
          <w:tab w:leader="none" w:pos="214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 Management Services</w:t>
      </w:r>
      <w:r>
        <w:rPr>
          <w:rFonts w:ascii="Arial" w:cs="Arial" w:eastAsia="Arial" w:hAnsi="Arial"/>
          <w:sz w:val="22"/>
          <w:szCs w:val="22"/>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w:t>
      </w:r>
      <w:r>
        <w:rPr>
          <w:rFonts w:ascii="Arial" w:cs="Arial" w:eastAsia="Arial" w:hAnsi="Arial"/>
          <w:sz w:val="22"/>
          <w:szCs w:val="22"/>
          <w:u w:val="single" w:color="auto"/>
          <w:color w:val="auto"/>
        </w:rPr>
        <w:t>investment adviser</w:t>
      </w:r>
      <w:r>
        <w:rPr>
          <w:rFonts w:ascii="Arial" w:cs="Arial" w:eastAsia="Arial" w:hAnsi="Arial"/>
          <w:sz w:val="22"/>
          <w:szCs w:val="22"/>
          <w:color w:val="auto"/>
        </w:rPr>
        <w:t>” within the meaning of</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240" w:top="631" w:right="299" w:bottom="1440" w:gutter="0" w:footer="0" w:header="0"/>
        </w:sectPr>
      </w:pPr>
    </w:p>
    <w:bookmarkStart w:id="138" w:name="page139"/>
    <w:bookmarkEnd w:id="138"/>
    <w:p>
      <w:pPr>
        <w:ind w:right="760"/>
        <w:spacing w:after="0" w:line="263" w:lineRule="auto"/>
        <w:rPr>
          <w:sz w:val="20"/>
          <w:szCs w:val="20"/>
          <w:color w:val="auto"/>
        </w:rPr>
      </w:pPr>
      <w:r>
        <w:rPr>
          <w:rFonts w:ascii="Arial" w:cs="Arial" w:eastAsia="Arial" w:hAnsi="Arial"/>
          <w:sz w:val="22"/>
          <w:szCs w:val="22"/>
          <w:color w:val="auto"/>
        </w:rPr>
        <w:t>the Investment Advisers Act of 1940, as amended, including, without limitation, in each of the foregoing cases, performing activities related or incidental thereto.</w:t>
      </w:r>
    </w:p>
    <w:p>
      <w:pPr>
        <w:spacing w:after="0" w:line="215" w:lineRule="exact"/>
        <w:rPr>
          <w:sz w:val="20"/>
          <w:szCs w:val="20"/>
          <w:color w:val="auto"/>
        </w:rPr>
      </w:pPr>
    </w:p>
    <w:p>
      <w:pPr>
        <w:ind w:firstLine="1305"/>
        <w:spacing w:after="0" w:line="285" w:lineRule="auto"/>
        <w:tabs>
          <w:tab w:leader="none" w:pos="225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xml:space="preserve">”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10" w:lineRule="exact"/>
        <w:rPr>
          <w:rFonts w:ascii="Arial" w:cs="Arial" w:eastAsia="Arial" w:hAnsi="Arial"/>
          <w:sz w:val="19"/>
          <w:szCs w:val="19"/>
          <w:color w:val="auto"/>
        </w:rPr>
      </w:pPr>
    </w:p>
    <w:p>
      <w:pPr>
        <w:ind w:right="100" w:firstLine="1305"/>
        <w:spacing w:after="0" w:line="253" w:lineRule="auto"/>
        <w:tabs>
          <w:tab w:leader="none" w:pos="219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Criteria</w:t>
      </w:r>
      <w:r>
        <w:rPr>
          <w:rFonts w:ascii="Arial" w:cs="Arial" w:eastAsia="Arial" w:hAnsi="Arial"/>
          <w:sz w:val="22"/>
          <w:szCs w:val="22"/>
          <w:color w:val="auto"/>
        </w:rPr>
        <w:t>” shall mean specified criteria, other than the mere continuation of Employment or the mere passage of time, the satisfaction of which is a condition for the grant, exercisability, vesting or full enjoyment of the Award.</w:t>
      </w:r>
    </w:p>
    <w:p>
      <w:pPr>
        <w:spacing w:after="0" w:line="226" w:lineRule="exact"/>
        <w:rPr>
          <w:rFonts w:ascii="Arial" w:cs="Arial" w:eastAsia="Arial" w:hAnsi="Arial"/>
          <w:sz w:val="22"/>
          <w:szCs w:val="22"/>
          <w:color w:val="auto"/>
        </w:rPr>
      </w:pPr>
    </w:p>
    <w:p>
      <w:pPr>
        <w:ind w:right="100" w:firstLine="1305"/>
        <w:spacing w:after="0" w:line="263" w:lineRule="auto"/>
        <w:tabs>
          <w:tab w:leader="none" w:pos="219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 for the Performance Period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Period</w:t>
      </w:r>
      <w:r>
        <w:rPr>
          <w:rFonts w:ascii="Arial" w:cs="Arial" w:eastAsia="Arial" w:hAnsi="Arial"/>
          <w:sz w:val="22"/>
          <w:szCs w:val="22"/>
          <w:color w:val="auto"/>
        </w:rPr>
        <w:t>” shall mean a period of at least a full fiscal year of the Company.</w:t>
      </w:r>
    </w:p>
    <w:p>
      <w:pPr>
        <w:spacing w:after="0" w:line="260" w:lineRule="exact"/>
        <w:rPr>
          <w:rFonts w:ascii="Arial" w:cs="Arial" w:eastAsia="Arial" w:hAnsi="Arial"/>
          <w:sz w:val="22"/>
          <w:szCs w:val="22"/>
          <w:color w:val="auto"/>
        </w:rPr>
      </w:pPr>
    </w:p>
    <w:p>
      <w:pPr>
        <w:ind w:right="760" w:firstLine="1305"/>
        <w:spacing w:after="0" w:line="343" w:lineRule="auto"/>
        <w:tabs>
          <w:tab w:leader="none" w:pos="219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45" w:lineRule="exact"/>
        <w:rPr>
          <w:rFonts w:ascii="Arial" w:cs="Arial" w:eastAsia="Arial" w:hAnsi="Arial"/>
          <w:sz w:val="19"/>
          <w:szCs w:val="19"/>
          <w:color w:val="auto"/>
        </w:rPr>
      </w:pPr>
    </w:p>
    <w:p>
      <w:pPr>
        <w:ind w:right="80" w:firstLine="1305"/>
        <w:spacing w:after="0" w:line="259" w:lineRule="auto"/>
        <w:tabs>
          <w:tab w:leader="none" w:pos="216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Potential Client</w:t>
      </w:r>
      <w:r>
        <w:rPr>
          <w:rFonts w:ascii="Arial" w:cs="Arial" w:eastAsia="Arial" w:hAnsi="Arial"/>
          <w:sz w:val="21"/>
          <w:szCs w:val="21"/>
          <w:color w:val="auto"/>
        </w:rPr>
        <w:t>”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39" w:name="page140"/>
    <w:bookmarkEnd w:id="139"/>
    <w:p>
      <w:pPr>
        <w:ind w:right="20"/>
        <w:spacing w:after="0" w:line="294" w:lineRule="auto"/>
        <w:rPr>
          <w:sz w:val="20"/>
          <w:szCs w:val="20"/>
          <w:color w:val="auto"/>
        </w:rPr>
      </w:pPr>
      <w:r>
        <w:rPr>
          <w:rFonts w:ascii="Arial" w:cs="Arial" w:eastAsia="Arial" w:hAnsi="Arial"/>
          <w:sz w:val="19"/>
          <w:szCs w:val="19"/>
          <w:color w:val="auto"/>
        </w:rPr>
        <w:t xml:space="preserve">on their behalf), and (ii) with which Grantee or his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190" w:lineRule="exact"/>
        <w:rPr>
          <w:sz w:val="20"/>
          <w:szCs w:val="20"/>
          <w:color w:val="auto"/>
        </w:rPr>
      </w:pPr>
    </w:p>
    <w:p>
      <w:pPr>
        <w:ind w:firstLine="1305"/>
        <w:spacing w:after="0" w:line="289" w:lineRule="auto"/>
        <w:tabs>
          <w:tab w:leader="none" w:pos="2173"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his department had material, direct interaction with and/or with respect to which Grantee had access to proprietary or confidential information.</w:t>
      </w:r>
    </w:p>
    <w:p>
      <w:pPr>
        <w:spacing w:after="0" w:line="198" w:lineRule="exact"/>
        <w:rPr>
          <w:sz w:val="20"/>
          <w:szCs w:val="20"/>
          <w:color w:val="auto"/>
        </w:rPr>
      </w:pPr>
    </w:p>
    <w:p>
      <w:pPr>
        <w:ind w:right="480" w:firstLine="1305"/>
        <w:spacing w:after="0" w:line="263" w:lineRule="auto"/>
        <w:tabs>
          <w:tab w:leader="none" w:pos="2107"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or accelerated vesting as set forth below.</w:t>
      </w:r>
    </w:p>
    <w:p>
      <w:pPr>
        <w:spacing w:after="0" w:line="215" w:lineRule="exact"/>
        <w:rPr>
          <w:sz w:val="20"/>
          <w:szCs w:val="20"/>
          <w:color w:val="auto"/>
        </w:rPr>
      </w:pPr>
    </w:p>
    <w:p>
      <w:pPr>
        <w:jc w:val="both"/>
        <w:ind w:right="140" w:firstLine="1305"/>
        <w:spacing w:after="0" w:line="288" w:lineRule="auto"/>
        <w:tabs>
          <w:tab w:leader="none" w:pos="2185" w:val="left"/>
        </w:tabs>
        <w:numPr>
          <w:ilvl w:val="1"/>
          <w:numId w:val="170"/>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Notwithstanding anything to the contrary herein or in the Plan, if the Grantee’s Employment terminates by reason of death or disability,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it shall only vest pursuant to Section 2(b) if</w:t>
      </w:r>
    </w:p>
    <w:p>
      <w:pPr>
        <w:spacing w:after="0" w:line="1" w:lineRule="exact"/>
        <w:rPr>
          <w:rFonts w:ascii="Arial" w:cs="Arial" w:eastAsia="Arial" w:hAnsi="Arial"/>
          <w:sz w:val="19"/>
          <w:szCs w:val="19"/>
          <w:color w:val="auto"/>
        </w:rPr>
      </w:pPr>
    </w:p>
    <w:p>
      <w:pPr>
        <w:ind w:right="40" w:firstLine="8"/>
        <w:spacing w:after="0" w:line="287" w:lineRule="auto"/>
        <w:tabs>
          <w:tab w:leader="none" w:pos="25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Compensation Committee has certified that the Performance Measure has been attained on or before the date of termination, and in such case shall vest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vest at the time of such termination but such vested portion shall remain subject to the attainment of the Performance Measure and shall not be settled unless and until the Compensation Committee has certified that the Performance Measure has been attained (and shall be settled at the time of such certification (if any)).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Award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or any portion thereof, as applicable, in accordance with Section 2(b) hereof.)</w:t>
      </w:r>
    </w:p>
    <w:p>
      <w:pPr>
        <w:spacing w:after="0" w:line="201" w:lineRule="exact"/>
        <w:rPr>
          <w:rFonts w:ascii="Arial" w:cs="Arial" w:eastAsia="Arial" w:hAnsi="Arial"/>
          <w:sz w:val="19"/>
          <w:szCs w:val="19"/>
          <w:color w:val="auto"/>
        </w:rPr>
      </w:pPr>
    </w:p>
    <w:p>
      <w:pPr>
        <w:ind w:right="80" w:firstLine="1305"/>
        <w:spacing w:after="0" w:line="297" w:lineRule="auto"/>
        <w:tabs>
          <w:tab w:leader="none" w:pos="2197"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Grantee’s Employment terminates for any reason other than death or disability or in connection with a Change of Control described in Section 2(c), this Award shall, to the extent not already vested as described herein, terminate immediately and be of no further force or effect; it being understood that this Award shall remain outstanding following the date of any termination with respect to any portion thereof subject to a Performance Measure that has vested (including pursuant to Sections 2(c)(y) or 4(a)(ii) hereof) until the Award is settled or terminated in accordance with Section 2(b).</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631" w:right="279" w:bottom="1440" w:gutter="0" w:footer="0" w:header="0"/>
        </w:sectPr>
      </w:pPr>
    </w:p>
    <w:bookmarkStart w:id="140" w:name="page141"/>
    <w:bookmarkEnd w:id="140"/>
    <w:p>
      <w:pPr>
        <w:ind w:right="160" w:firstLine="1297"/>
        <w:spacing w:after="0" w:line="263"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his or her representatives, legal guardians or legatees.</w:t>
      </w:r>
    </w:p>
    <w:p>
      <w:pPr>
        <w:spacing w:after="0" w:line="175" w:lineRule="exact"/>
        <w:rPr>
          <w:sz w:val="20"/>
          <w:szCs w:val="20"/>
          <w:color w:val="auto"/>
        </w:rPr>
      </w:pPr>
    </w:p>
    <w:p>
      <w:pPr>
        <w:ind w:left="2120" w:hanging="815"/>
        <w:spacing w:after="0"/>
        <w:tabs>
          <w:tab w:leader="none" w:pos="212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Effect of Certain Transactions</w:t>
      </w:r>
      <w:r>
        <w:rPr>
          <w:rFonts w:ascii="Arial" w:cs="Arial" w:eastAsia="Arial" w:hAnsi="Arial"/>
          <w:sz w:val="22"/>
          <w:szCs w:val="22"/>
          <w:color w:val="auto"/>
        </w:rPr>
        <w:t>.</w:t>
      </w:r>
    </w:p>
    <w:p>
      <w:pPr>
        <w:spacing w:after="0" w:line="260" w:lineRule="exact"/>
        <w:rPr>
          <w:sz w:val="20"/>
          <w:szCs w:val="20"/>
          <w:color w:val="auto"/>
        </w:rPr>
      </w:pPr>
    </w:p>
    <w:p>
      <w:pPr>
        <w:ind w:firstLine="1305"/>
        <w:spacing w:after="0" w:line="289" w:lineRule="auto"/>
        <w:tabs>
          <w:tab w:leader="none" w:pos="2185"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Hypothetical Investments in Notional Shares</w:t>
      </w:r>
      <w:r>
        <w:rPr>
          <w:rFonts w:ascii="Arial" w:cs="Arial" w:eastAsia="Arial" w:hAnsi="Arial"/>
          <w:sz w:val="19"/>
          <w:szCs w:val="19"/>
          <w:i w:val="1"/>
          <w:iCs w:val="1"/>
          <w:color w:val="auto"/>
        </w:rPr>
        <w:t>.</w:t>
      </w:r>
      <w:r>
        <w:rPr>
          <w:rFonts w:ascii="Arial" w:cs="Arial" w:eastAsia="Arial" w:hAnsi="Arial"/>
          <w:sz w:val="19"/>
          <w:szCs w:val="19"/>
          <w:color w:val="auto"/>
        </w:rPr>
        <w:t xml:space="preserve"> If the Grantee has elected a hypothetical investment in Notional Shares, upon a Covered Transaction in which holders of Shares will receive upon consummation a payment (whether cash, non-cash or a combination of the foregoing), then subject to Section 5(b)(iv) below, the Administrator may provide for payment (a “</w:t>
      </w:r>
      <w:r>
        <w:rPr>
          <w:rFonts w:ascii="Arial" w:cs="Arial" w:eastAsia="Arial" w:hAnsi="Arial"/>
          <w:sz w:val="19"/>
          <w:szCs w:val="19"/>
          <w:u w:val="single" w:color="auto"/>
          <w:color w:val="auto"/>
        </w:rPr>
        <w:t>cash-out</w:t>
      </w:r>
      <w:r>
        <w:rPr>
          <w:rFonts w:ascii="Arial" w:cs="Arial" w:eastAsia="Arial" w:hAnsi="Arial"/>
          <w:sz w:val="19"/>
          <w:szCs w:val="19"/>
          <w:color w:val="auto"/>
        </w:rPr>
        <w:t xml:space="preserve">”), with respect to the Award or any portion thereof, equal to the fair market value of one Share (as determined by the Administrator in its reasonable discretion) times the number of Notional Shares subject to the Award or such portion, on such payment terms (which need not be the same as the terms of payment to holders of Shares) and other terms, and subject to such conditions, as the Administrator determines; </w:t>
      </w:r>
      <w:r>
        <w:rPr>
          <w:rFonts w:ascii="Arial" w:cs="Arial" w:eastAsia="Arial" w:hAnsi="Arial"/>
          <w:sz w:val="19"/>
          <w:szCs w:val="19"/>
          <w:u w:val="single" w:color="auto"/>
          <w:color w:val="auto"/>
        </w:rPr>
        <w:t>provided that</w:t>
      </w:r>
      <w:r>
        <w:rPr>
          <w:rFonts w:ascii="Arial" w:cs="Arial" w:eastAsia="Arial" w:hAnsi="Arial"/>
          <w:sz w:val="19"/>
          <w:szCs w:val="19"/>
          <w:color w:val="auto"/>
        </w:rPr>
        <w:t>, the Administrator shall not exercise its discretion under this Section 5(a) with respect to this Award in a manner that would constitute an extension or acceleration of, or other change in, payment terms if such change would be inconsistent with the applicable requirements of Section 409A.</w:t>
      </w:r>
    </w:p>
    <w:p>
      <w:pPr>
        <w:spacing w:after="0" w:line="198" w:lineRule="exact"/>
        <w:rPr>
          <w:rFonts w:ascii="Arial" w:cs="Arial" w:eastAsia="Arial" w:hAnsi="Arial"/>
          <w:sz w:val="19"/>
          <w:szCs w:val="19"/>
          <w:color w:val="auto"/>
        </w:rPr>
      </w:pPr>
    </w:p>
    <w:p>
      <w:pPr>
        <w:ind w:right="1080" w:firstLine="1305"/>
        <w:spacing w:after="0" w:line="263" w:lineRule="auto"/>
        <w:tabs>
          <w:tab w:leader="none" w:pos="2197"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All Hypothetical Investments</w:t>
      </w:r>
      <w:r>
        <w:rPr>
          <w:rFonts w:ascii="Arial" w:cs="Arial" w:eastAsia="Arial" w:hAnsi="Arial"/>
          <w:sz w:val="22"/>
          <w:szCs w:val="22"/>
          <w:i w:val="1"/>
          <w:iCs w:val="1"/>
          <w:color w:val="auto"/>
        </w:rPr>
        <w:t>.</w:t>
      </w:r>
      <w:r>
        <w:rPr>
          <w:rFonts w:ascii="Arial" w:cs="Arial" w:eastAsia="Arial" w:hAnsi="Arial"/>
          <w:sz w:val="22"/>
          <w:szCs w:val="22"/>
          <w:color w:val="auto"/>
        </w:rPr>
        <w:t xml:space="preserve"> The provisions of this Section 5(b) shall apply regardless of the hypothetical investment elected by the Grantee.</w:t>
      </w:r>
    </w:p>
    <w:p>
      <w:pPr>
        <w:spacing w:after="0" w:line="215" w:lineRule="exact"/>
        <w:rPr>
          <w:rFonts w:ascii="Arial" w:cs="Arial" w:eastAsia="Arial" w:hAnsi="Arial"/>
          <w:sz w:val="22"/>
          <w:szCs w:val="22"/>
          <w:color w:val="auto"/>
        </w:rPr>
      </w:pPr>
    </w:p>
    <w:p>
      <w:pPr>
        <w:jc w:val="both"/>
        <w:ind w:left="660" w:right="20" w:firstLine="1293"/>
        <w:spacing w:after="0" w:line="312" w:lineRule="auto"/>
        <w:tabs>
          <w:tab w:leader="none" w:pos="2719" w:val="left"/>
        </w:tabs>
        <w:numPr>
          <w:ilvl w:val="1"/>
          <w:numId w:val="173"/>
        </w:numPr>
        <w:rPr>
          <w:rFonts w:ascii="Arial" w:cs="Arial" w:eastAsia="Arial" w:hAnsi="Arial"/>
          <w:sz w:val="19"/>
          <w:szCs w:val="19"/>
          <w:color w:val="auto"/>
        </w:rPr>
      </w:pPr>
      <w:r>
        <w:rPr>
          <w:rFonts w:ascii="Arial" w:cs="Arial" w:eastAsia="Arial" w:hAnsi="Arial"/>
          <w:sz w:val="19"/>
          <w:szCs w:val="19"/>
          <w:i w:val="1"/>
          <w:iCs w:val="1"/>
          <w:color w:val="auto"/>
        </w:rPr>
        <w:t xml:space="preserve">Assumption or Substitution. </w:t>
      </w:r>
      <w:r>
        <w:rPr>
          <w:rFonts w:ascii="Arial" w:cs="Arial" w:eastAsia="Arial" w:hAnsi="Arial"/>
          <w:sz w:val="19"/>
          <w:szCs w:val="19"/>
          <w:color w:val="auto"/>
        </w:rPr>
        <w:t>In the event of a Covered Transaction, if the Covered Transaction is one</w:t>
      </w:r>
      <w:r>
        <w:rPr>
          <w:rFonts w:ascii="Arial" w:cs="Arial" w:eastAsia="Arial" w:hAnsi="Arial"/>
          <w:sz w:val="19"/>
          <w:szCs w:val="19"/>
          <w:i w:val="1"/>
          <w:iCs w:val="1"/>
          <w:color w:val="auto"/>
        </w:rPr>
        <w:t xml:space="preserve"> </w:t>
      </w:r>
      <w:r>
        <w:rPr>
          <w:rFonts w:ascii="Arial" w:cs="Arial" w:eastAsia="Arial" w:hAnsi="Arial"/>
          <w:sz w:val="19"/>
          <w:szCs w:val="19"/>
          <w:color w:val="auto"/>
        </w:rPr>
        <w:t>in which there is an acquiring or surviving entity, the Administrator may provide for the assumption of the Award or for the grant of a new award in substitution therefor by the acquiror or survivor or an affiliate of the acquiror or survivor.</w:t>
      </w:r>
    </w:p>
    <w:p>
      <w:pPr>
        <w:spacing w:after="0" w:line="174" w:lineRule="exact"/>
        <w:rPr>
          <w:rFonts w:ascii="Arial" w:cs="Arial" w:eastAsia="Arial" w:hAnsi="Arial"/>
          <w:sz w:val="19"/>
          <w:szCs w:val="19"/>
          <w:color w:val="auto"/>
        </w:rPr>
      </w:pPr>
    </w:p>
    <w:p>
      <w:pPr>
        <w:ind w:firstLine="1953"/>
        <w:spacing w:after="0" w:line="260" w:lineRule="auto"/>
        <w:tabs>
          <w:tab w:leader="none" w:pos="2767" w:val="left"/>
        </w:tabs>
        <w:numPr>
          <w:ilvl w:val="1"/>
          <w:numId w:val="173"/>
        </w:numPr>
        <w:rPr>
          <w:rFonts w:ascii="Arial" w:cs="Arial" w:eastAsia="Arial" w:hAnsi="Arial"/>
          <w:sz w:val="21"/>
          <w:szCs w:val="21"/>
          <w:color w:val="auto"/>
        </w:rPr>
      </w:pPr>
      <w:r>
        <w:rPr>
          <w:rFonts w:ascii="Arial" w:cs="Arial" w:eastAsia="Arial" w:hAnsi="Arial"/>
          <w:sz w:val="21"/>
          <w:szCs w:val="21"/>
          <w:i w:val="1"/>
          <w:iCs w:val="1"/>
          <w:color w:val="auto"/>
        </w:rPr>
        <w:t>Acceleration</w:t>
      </w:r>
      <w:r>
        <w:rPr>
          <w:rFonts w:ascii="Arial" w:cs="Arial" w:eastAsia="Arial" w:hAnsi="Arial"/>
          <w:sz w:val="21"/>
          <w:szCs w:val="21"/>
          <w:color w:val="auto"/>
        </w:rPr>
        <w:t>. If the Covered Transaction (whether or not there is an acquiring or surviving entity) 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one in which there is no assumption, substitution or cash-out, then subject to Section 5(b)(iv) below, this Award will be accelerated and settled, prior to the Covered Transaction; </w:t>
      </w:r>
      <w:r>
        <w:rPr>
          <w:rFonts w:ascii="Arial" w:cs="Arial" w:eastAsia="Arial" w:hAnsi="Arial"/>
          <w:sz w:val="21"/>
          <w:szCs w:val="21"/>
          <w:u w:val="single" w:color="auto"/>
          <w:color w:val="auto"/>
        </w:rPr>
        <w:t>provided that</w:t>
      </w:r>
      <w:r>
        <w:rPr>
          <w:rFonts w:ascii="Arial" w:cs="Arial" w:eastAsia="Arial" w:hAnsi="Arial"/>
          <w:sz w:val="21"/>
          <w:szCs w:val="21"/>
          <w:color w:val="auto"/>
        </w:rPr>
        <w:t>, to the extent acceleration pursuant to this Section 5(b)(ii) would cause the Award to fail to satisfy the requirements of Section 409A (if subject to such requirements), the Award shall not be accelerated and the Administrator in lieu thereof shall take such steps as are necessary to ensure that payment of the Award is made in a medium other than Shares and on terms that as nearly as possible, but taking into account adjustments required or permitted by this Section 5, replicate the prior terms of the Award.</w:t>
      </w:r>
    </w:p>
    <w:p>
      <w:pPr>
        <w:spacing w:after="0" w:line="221" w:lineRule="exact"/>
        <w:rPr>
          <w:rFonts w:ascii="Arial" w:cs="Arial" w:eastAsia="Arial" w:hAnsi="Arial"/>
          <w:sz w:val="21"/>
          <w:szCs w:val="21"/>
          <w:color w:val="auto"/>
        </w:rPr>
      </w:pPr>
    </w:p>
    <w:p>
      <w:pPr>
        <w:ind w:right="320" w:firstLine="1953"/>
        <w:spacing w:after="0" w:line="250" w:lineRule="auto"/>
        <w:tabs>
          <w:tab w:leader="none" w:pos="2827" w:val="left"/>
        </w:tabs>
        <w:numPr>
          <w:ilvl w:val="1"/>
          <w:numId w:val="173"/>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Award Upon Consummation of Covered Transaction. </w:t>
      </w:r>
      <w:r>
        <w:rPr>
          <w:rFonts w:ascii="Arial" w:cs="Arial" w:eastAsia="Arial" w:hAnsi="Arial"/>
          <w:sz w:val="22"/>
          <w:szCs w:val="22"/>
          <w:color w:val="auto"/>
        </w:rPr>
        <w:t>This Award will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upon consummation of the Covered Transaction, unless: (i) the Award is assumed pursuant to Section 5(b)(i) above; or (ii) the Award is converted pursuant to the proviso in Section 5(b)(ii) above into an ongoing right to receive payment in a medium other than Shares.</w:t>
      </w:r>
    </w:p>
    <w:p>
      <w:pPr>
        <w:spacing w:after="0" w:line="228" w:lineRule="exact"/>
        <w:rPr>
          <w:rFonts w:ascii="Arial" w:cs="Arial" w:eastAsia="Arial" w:hAnsi="Arial"/>
          <w:sz w:val="22"/>
          <w:szCs w:val="22"/>
          <w:color w:val="auto"/>
        </w:rPr>
      </w:pPr>
    </w:p>
    <w:p>
      <w:pPr>
        <w:ind w:right="40" w:firstLine="1953"/>
        <w:spacing w:after="0" w:line="247" w:lineRule="auto"/>
        <w:tabs>
          <w:tab w:leader="none" w:pos="2801" w:val="left"/>
        </w:tabs>
        <w:numPr>
          <w:ilvl w:val="1"/>
          <w:numId w:val="173"/>
        </w:numPr>
        <w:rPr>
          <w:rFonts w:ascii="Arial" w:cs="Arial" w:eastAsia="Arial" w:hAnsi="Arial"/>
          <w:sz w:val="22"/>
          <w:szCs w:val="22"/>
          <w:color w:val="auto"/>
        </w:rPr>
      </w:pPr>
      <w:r>
        <w:rPr>
          <w:rFonts w:ascii="Arial" w:cs="Arial" w:eastAsia="Arial" w:hAnsi="Arial"/>
          <w:sz w:val="22"/>
          <w:szCs w:val="22"/>
          <w:i w:val="1"/>
          <w:iCs w:val="1"/>
          <w:color w:val="auto"/>
        </w:rPr>
        <w:t xml:space="preserve">Additional Limitations. </w:t>
      </w:r>
      <w:r>
        <w:rPr>
          <w:rFonts w:ascii="Arial" w:cs="Arial" w:eastAsia="Arial" w:hAnsi="Arial"/>
          <w:sz w:val="22"/>
          <w:szCs w:val="22"/>
          <w:color w:val="auto"/>
        </w:rPr>
        <w:t>Any Shares and any cash or other property delivered pursuant to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5(a) or Section 5(b)(ii) above with respect to the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5(a) above shall not, in and of itself, be treated as the lapsing (or satisfaction) of a performance or other vesting condition.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41" w:name="page142"/>
    <w:bookmarkEnd w:id="141"/>
    <w:p>
      <w:pPr>
        <w:ind w:right="60" w:firstLine="1305"/>
        <w:spacing w:after="0" w:line="263" w:lineRule="auto"/>
        <w:tabs>
          <w:tab w:leader="none" w:pos="2185"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Changes in and Distributions with Respect to Shares</w:t>
      </w:r>
      <w:r>
        <w:rPr>
          <w:rFonts w:ascii="Arial" w:cs="Arial" w:eastAsia="Arial" w:hAnsi="Arial"/>
          <w:sz w:val="22"/>
          <w:szCs w:val="22"/>
          <w:color w:val="auto"/>
        </w:rPr>
        <w:t>. The provisions of this Section 5(c) shall apply if the Grantee has elected a hypothetical investment in Notional Shares.</w:t>
      </w:r>
    </w:p>
    <w:p>
      <w:pPr>
        <w:spacing w:after="0" w:line="215" w:lineRule="exact"/>
        <w:rPr>
          <w:rFonts w:ascii="Arial" w:cs="Arial" w:eastAsia="Arial" w:hAnsi="Arial"/>
          <w:sz w:val="22"/>
          <w:szCs w:val="22"/>
          <w:color w:val="auto"/>
        </w:rPr>
      </w:pPr>
    </w:p>
    <w:p>
      <w:pPr>
        <w:jc w:val="both"/>
        <w:ind w:right="180" w:firstLine="1953"/>
        <w:spacing w:after="0" w:line="250" w:lineRule="auto"/>
        <w:tabs>
          <w:tab w:leader="none" w:pos="2707" w:val="left"/>
        </w:tabs>
        <w:numPr>
          <w:ilvl w:val="1"/>
          <w:numId w:val="174"/>
        </w:numPr>
        <w:rPr>
          <w:rFonts w:ascii="Arial" w:cs="Arial" w:eastAsia="Arial" w:hAnsi="Arial"/>
          <w:sz w:val="22"/>
          <w:szCs w:val="22"/>
          <w:color w:val="auto"/>
        </w:rPr>
      </w:pPr>
      <w:r>
        <w:rPr>
          <w:rFonts w:ascii="Arial" w:cs="Arial" w:eastAsia="Arial" w:hAnsi="Arial"/>
          <w:sz w:val="22"/>
          <w:szCs w:val="22"/>
          <w:i w:val="1"/>
          <w:iCs w:val="1"/>
          <w:color w:val="auto"/>
        </w:rPr>
        <w:t>Basic Adjustment Provisions</w:t>
      </w:r>
      <w:r>
        <w:rPr>
          <w:rFonts w:ascii="Arial" w:cs="Arial" w:eastAsia="Arial" w:hAnsi="Arial"/>
          <w:sz w:val="22"/>
          <w:szCs w:val="22"/>
          <w:color w:val="auto"/>
        </w:rPr>
        <w:t>. In the event of a stock dividend, stock split or combination of shares</w:t>
      </w:r>
      <w:r>
        <w:rPr>
          <w:rFonts w:ascii="Arial" w:cs="Arial" w:eastAsia="Arial" w:hAnsi="Arial"/>
          <w:sz w:val="22"/>
          <w:szCs w:val="22"/>
          <w:i w:val="1"/>
          <w:iCs w:val="1"/>
          <w:color w:val="auto"/>
        </w:rPr>
        <w:t xml:space="preserve"> </w:t>
      </w:r>
      <w:r>
        <w:rPr>
          <w:rFonts w:ascii="Arial" w:cs="Arial" w:eastAsia="Arial" w:hAnsi="Arial"/>
          <w:sz w:val="22"/>
          <w:szCs w:val="22"/>
          <w:color w:val="auto"/>
        </w:rPr>
        <w:t>(including a reverse stock split), recapitalization or other change in the Company’s capital structure, the Administrator shall make appropriate adjustments to the number and kind of Notional Shares subject to the Award and any other provision of Awards affected by such change.</w:t>
      </w:r>
    </w:p>
    <w:p>
      <w:pPr>
        <w:spacing w:after="0" w:line="228" w:lineRule="exact"/>
        <w:rPr>
          <w:rFonts w:ascii="Arial" w:cs="Arial" w:eastAsia="Arial" w:hAnsi="Arial"/>
          <w:sz w:val="22"/>
          <w:szCs w:val="22"/>
          <w:color w:val="auto"/>
        </w:rPr>
      </w:pPr>
    </w:p>
    <w:p>
      <w:pPr>
        <w:jc w:val="both"/>
        <w:ind w:right="60" w:firstLine="1953"/>
        <w:spacing w:after="0" w:line="265" w:lineRule="auto"/>
        <w:tabs>
          <w:tab w:leader="none" w:pos="2767" w:val="left"/>
        </w:tabs>
        <w:numPr>
          <w:ilvl w:val="1"/>
          <w:numId w:val="174"/>
        </w:numPr>
        <w:rPr>
          <w:rFonts w:ascii="Arial" w:cs="Arial" w:eastAsia="Arial" w:hAnsi="Arial"/>
          <w:sz w:val="21"/>
          <w:szCs w:val="21"/>
          <w:color w:val="auto"/>
        </w:rPr>
      </w:pPr>
      <w:r>
        <w:rPr>
          <w:rFonts w:ascii="Arial" w:cs="Arial" w:eastAsia="Arial" w:hAnsi="Arial"/>
          <w:sz w:val="21"/>
          <w:szCs w:val="21"/>
          <w:i w:val="1"/>
          <w:iCs w:val="1"/>
          <w:color w:val="auto"/>
        </w:rPr>
        <w:t>Certain Other Adjustments</w:t>
      </w:r>
      <w:r>
        <w:rPr>
          <w:rFonts w:ascii="Arial" w:cs="Arial" w:eastAsia="Arial" w:hAnsi="Arial"/>
          <w:sz w:val="21"/>
          <w:szCs w:val="21"/>
          <w:color w:val="auto"/>
        </w:rPr>
        <w:t>. The Administrator may also make adjustments of the type described in</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5(c)(i) above to take into account distributions to stockholders other than those provided for in Section 5(c)(i), or any other event, if the Administrator determines that adjustments are appropriate to avoid distortion in the operation of the Plan and to preserve the value of the Award, having due regard for the requirements of Section 409A.</w:t>
      </w:r>
    </w:p>
    <w:p>
      <w:pPr>
        <w:spacing w:after="0" w:line="216" w:lineRule="exact"/>
        <w:rPr>
          <w:sz w:val="20"/>
          <w:szCs w:val="20"/>
          <w:color w:val="auto"/>
        </w:rPr>
      </w:pPr>
    </w:p>
    <w:p>
      <w:pPr>
        <w:ind w:firstLine="1305"/>
        <w:spacing w:after="0" w:line="259" w:lineRule="auto"/>
        <w:tabs>
          <w:tab w:leader="none" w:pos="2107"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Vesting and Settlement</w:t>
      </w:r>
      <w:r>
        <w:rPr>
          <w:rFonts w:ascii="Arial" w:cs="Arial" w:eastAsia="Arial" w:hAnsi="Arial"/>
          <w:sz w:val="21"/>
          <w:szCs w:val="21"/>
          <w:color w:val="auto"/>
        </w:rPr>
        <w:t xml:space="preserve">. Any portion of the Award that becomes vested shall be settled by the Company to the Grantee in Shares or cash (subject to Section 5 above), or a combination thereof, as determined by the Administrator, following, if applicable, attainment of the Performance Measure. The Award shall be settled pursuant to Section 2 hereof, and the vesting schedule and, if applicable, performance requirements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with the issuance and distribution of Shares and/or payment in cash, if any, in settlement of the Award (whether the Shares, if any, are to be held by the Company on the Grantee’s behalf pursuant to Section 18(a) hereof or issued directly to the Grantee) to occur, in all cases, no later than March 15 of the year following the year in which the Award , in accordance with the short-term deferral exception under Section 409A and the regulations and guidance thereunder. Notwithstanding anything to the contrary in the Plan, settlement of this Award does not require a request for distribution from the Grantee.</w:t>
      </w:r>
    </w:p>
    <w:p>
      <w:pPr>
        <w:spacing w:after="0" w:line="221" w:lineRule="exact"/>
        <w:rPr>
          <w:sz w:val="20"/>
          <w:szCs w:val="20"/>
          <w:color w:val="auto"/>
        </w:rPr>
      </w:pPr>
    </w:p>
    <w:p>
      <w:pPr>
        <w:ind w:right="520" w:firstLine="1297"/>
        <w:spacing w:after="0" w:line="287" w:lineRule="auto"/>
        <w:rPr>
          <w:sz w:val="20"/>
          <w:szCs w:val="20"/>
          <w:color w:val="auto"/>
        </w:rPr>
      </w:pPr>
      <w:r>
        <w:rPr>
          <w:rFonts w:ascii="Arial" w:cs="Arial" w:eastAsia="Arial" w:hAnsi="Arial"/>
          <w:sz w:val="21"/>
          <w:szCs w:val="21"/>
          <w:color w:val="auto"/>
        </w:rPr>
        <w:t>Any sales of Shares are subject to the Company’s insider trading policy, equity ownership guidelines and other Company policies as may be in effect from time to time or otherwise established by the Administrator.</w:t>
      </w:r>
    </w:p>
    <w:p>
      <w:pPr>
        <w:spacing w:after="0" w:line="152" w:lineRule="exact"/>
        <w:rPr>
          <w:sz w:val="20"/>
          <w:szCs w:val="20"/>
          <w:color w:val="auto"/>
        </w:rPr>
      </w:pPr>
    </w:p>
    <w:p>
      <w:pPr>
        <w:ind w:firstLine="1305"/>
        <w:spacing w:after="0" w:line="289" w:lineRule="auto"/>
        <w:tabs>
          <w:tab w:leader="none" w:pos="2107"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In the case of a Grantee who has elected a hypothetical investment in Notional Shares, if the Company makes any cash dividends or other cash distributions to the holders of Shares, the Grantee shall have the right to receive payments in lieu thereof in respect of the Notional Shares (“</w:t>
      </w: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such a cash dividend or other cash distribution prior to the settlement or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number of Notional Shares. Such amounts shall be subject to the same vesting, payment (without interest), issuance, distribution, and other terms and conditions applicable to the Award as provided in this Agreement, including, for the avoidance of doubt, the attainment of any Performance Measure, as certified by the Compensation Committee.</w:t>
      </w:r>
    </w:p>
    <w:p>
      <w:pPr>
        <w:spacing w:after="0" w:line="198" w:lineRule="exact"/>
        <w:rPr>
          <w:rFonts w:ascii="Arial" w:cs="Arial" w:eastAsia="Arial" w:hAnsi="Arial"/>
          <w:sz w:val="19"/>
          <w:szCs w:val="19"/>
          <w:color w:val="auto"/>
        </w:rPr>
      </w:pPr>
    </w:p>
    <w:p>
      <w:pPr>
        <w:ind w:right="100" w:firstLine="1305"/>
        <w:spacing w:after="0" w:line="263" w:lineRule="auto"/>
        <w:tabs>
          <w:tab w:leader="none" w:pos="2107"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Stockholder Rights</w:t>
      </w:r>
      <w:r>
        <w:rPr>
          <w:rFonts w:ascii="Arial" w:cs="Arial" w:eastAsia="Arial" w:hAnsi="Arial"/>
          <w:sz w:val="21"/>
          <w:szCs w:val="21"/>
          <w:color w:val="auto"/>
        </w:rPr>
        <w:t>. This Award shall not be interpreted to bestow upon a Grantee, including any Grantee who has elected a hypothetical investment in Notional Shares, any equity interest or ownership in the Company or any subsidiary or Affiliate prior to the dates on which the Company delivers Shares (if any) to the Grantee in settlement of this Award. The Grantee shall have no rights as a shareholder with respect to the Notional Shares, and shall have the rights of a shareholder only as to those Shares, if any, that are actually delivered under this Award.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1" w:right="259" w:bottom="1440" w:gutter="0" w:footer="0" w:header="0"/>
        </w:sectPr>
      </w:pPr>
    </w:p>
    <w:bookmarkStart w:id="142" w:name="page143"/>
    <w:bookmarkEnd w:id="142"/>
    <w:p>
      <w:pPr>
        <w:ind w:left="2120" w:hanging="815"/>
        <w:spacing w:after="0"/>
        <w:tabs>
          <w:tab w:leader="none" w:pos="212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60" w:lineRule="exact"/>
        <w:rPr>
          <w:sz w:val="20"/>
          <w:szCs w:val="20"/>
          <w:color w:val="auto"/>
        </w:rPr>
      </w:pPr>
    </w:p>
    <w:p>
      <w:pPr>
        <w:ind w:right="40" w:firstLine="1305"/>
        <w:spacing w:after="0" w:line="283" w:lineRule="auto"/>
        <w:tabs>
          <w:tab w:leader="none" w:pos="218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In consideration of the Award granted herein, the Grantee agrees that during the term of the Grantee’s Employment (or other applicable service relationship) with the Company or any of its subsidiaries or Affiliates and for one (1) year thereafter (or two (2) years if the Grantee breaches his or her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clause (i) shall prohibit the Grantee from acting as an agent for a Competing Business in the course of his or her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w:t>
      </w:r>
    </w:p>
    <w:p>
      <w:pPr>
        <w:spacing w:after="0" w:line="7" w:lineRule="exact"/>
        <w:rPr>
          <w:rFonts w:ascii="Arial" w:cs="Arial" w:eastAsia="Arial" w:hAnsi="Arial"/>
          <w:sz w:val="19"/>
          <w:szCs w:val="19"/>
          <w:color w:val="auto"/>
        </w:rPr>
      </w:pPr>
    </w:p>
    <w:p>
      <w:pPr>
        <w:ind w:right="40" w:firstLine="8"/>
        <w:spacing w:after="0" w:line="295" w:lineRule="auto"/>
        <w:tabs>
          <w:tab w:leader="none" w:pos="35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(or other applicable service relationship) with the Company or any of its subsidiaries or Affiliates.</w:t>
      </w:r>
    </w:p>
    <w:p>
      <w:pPr>
        <w:spacing w:after="0" w:line="191"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176" w:lineRule="exact"/>
        <w:rPr>
          <w:sz w:val="20"/>
          <w:szCs w:val="20"/>
          <w:color w:val="auto"/>
        </w:rPr>
      </w:pPr>
    </w:p>
    <w:p>
      <w:pPr>
        <w:ind w:firstLine="1305"/>
        <w:spacing w:after="0" w:line="297" w:lineRule="auto"/>
        <w:tabs>
          <w:tab w:leader="none" w:pos="2197" w:val="left"/>
        </w:tabs>
        <w:numPr>
          <w:ilvl w:val="1"/>
          <w:numId w:val="180"/>
        </w:numPr>
        <w:rPr>
          <w:rFonts w:ascii="Arial" w:cs="Arial" w:eastAsia="Arial" w:hAnsi="Arial"/>
          <w:sz w:val="19"/>
          <w:szCs w:val="19"/>
          <w:color w:val="auto"/>
        </w:rPr>
      </w:pPr>
      <w:r>
        <w:rPr>
          <w:rFonts w:ascii="Arial" w:cs="Arial" w:eastAsia="Arial" w:hAnsi="Arial"/>
          <w:sz w:val="19"/>
          <w:szCs w:val="19"/>
          <w:color w:val="auto"/>
        </w:rPr>
        <w:t>During the term of the Grantee’s Employment (or other applicable service relationship)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187" w:lineRule="exact"/>
        <w:rPr>
          <w:rFonts w:ascii="Arial" w:cs="Arial" w:eastAsia="Arial" w:hAnsi="Arial"/>
          <w:sz w:val="19"/>
          <w:szCs w:val="19"/>
          <w:color w:val="auto"/>
        </w:rPr>
      </w:pPr>
    </w:p>
    <w:p>
      <w:pPr>
        <w:ind w:right="140" w:firstLine="1305"/>
        <w:spacing w:after="0" w:line="288" w:lineRule="auto"/>
        <w:tabs>
          <w:tab w:leader="none" w:pos="218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Sections 9(a) and (b) of this Agreement, the Grantee agrees, for the benefit of the Company and its subsidiaries and Affiliates, that the Grantee shall not, during the term of his or her Employment (or other applicable service relationship) with the Company or any of its subsidiaries or Affiliates and for one</w:t>
      </w:r>
    </w:p>
    <w:p>
      <w:pPr>
        <w:spacing w:after="0" w:line="1" w:lineRule="exact"/>
        <w:rPr>
          <w:rFonts w:ascii="Arial" w:cs="Arial" w:eastAsia="Arial" w:hAnsi="Arial"/>
          <w:sz w:val="19"/>
          <w:szCs w:val="19"/>
          <w:color w:val="auto"/>
        </w:rPr>
      </w:pPr>
    </w:p>
    <w:p>
      <w:pPr>
        <w:ind w:right="500" w:firstLine="8"/>
        <w:spacing w:after="0" w:line="245" w:lineRule="auto"/>
        <w:tabs>
          <w:tab w:leader="none" w:pos="30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year thereafter, directly or indirectly (whether individually or as owner, part owner, shareholder, partner, member, director, officer, trustee, employee, agent, consultant or in any other capacity, on behalf of himself or any other Person (other than the Company or a subsidiary or Affiliate thereof while employed by the Company)):</w:t>
      </w:r>
    </w:p>
    <w:p>
      <w:pPr>
        <w:spacing w:after="0" w:line="233" w:lineRule="exact"/>
        <w:rPr>
          <w:rFonts w:ascii="Arial" w:cs="Arial" w:eastAsia="Arial" w:hAnsi="Arial"/>
          <w:sz w:val="22"/>
          <w:szCs w:val="22"/>
          <w:color w:val="auto"/>
        </w:rPr>
      </w:pPr>
    </w:p>
    <w:p>
      <w:pPr>
        <w:ind w:right="640" w:firstLine="1953"/>
        <w:spacing w:after="0" w:line="263" w:lineRule="auto"/>
        <w:tabs>
          <w:tab w:leader="none" w:pos="2707" w:val="left"/>
        </w:tabs>
        <w:numPr>
          <w:ilvl w:val="2"/>
          <w:numId w:val="181"/>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215" w:lineRule="exact"/>
        <w:rPr>
          <w:rFonts w:ascii="Arial" w:cs="Arial" w:eastAsia="Arial" w:hAnsi="Arial"/>
          <w:sz w:val="22"/>
          <w:szCs w:val="22"/>
          <w:color w:val="auto"/>
        </w:rPr>
      </w:pPr>
    </w:p>
    <w:p>
      <w:pPr>
        <w:ind w:right="80" w:firstLine="1953"/>
        <w:spacing w:after="0" w:line="263" w:lineRule="auto"/>
        <w:tabs>
          <w:tab w:leader="none" w:pos="2767" w:val="left"/>
        </w:tabs>
        <w:numPr>
          <w:ilvl w:val="2"/>
          <w:numId w:val="181"/>
        </w:numPr>
        <w:rPr>
          <w:rFonts w:ascii="Arial" w:cs="Arial" w:eastAsia="Arial" w:hAnsi="Arial"/>
          <w:sz w:val="22"/>
          <w:szCs w:val="22"/>
          <w:color w:val="auto"/>
        </w:rPr>
      </w:pPr>
      <w:r>
        <w:rPr>
          <w:rFonts w:ascii="Arial" w:cs="Arial" w:eastAsia="Arial" w:hAnsi="Arial"/>
          <w:sz w:val="22"/>
          <w:szCs w:val="22"/>
          <w:color w:val="auto"/>
        </w:rPr>
        <w:t>Solicit or induce (whether directly or indirectly) any Person for the purpose (which need not be the sole or primary purpose) of (A) causing any funds or accounts with respect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888" w:right="259" w:bottom="1440" w:gutter="0" w:footer="0" w:header="0"/>
        </w:sectPr>
      </w:pPr>
    </w:p>
    <w:bookmarkStart w:id="143" w:name="page144"/>
    <w:bookmarkEnd w:id="143"/>
    <w:p>
      <w:pPr>
        <w:ind w:right="40"/>
        <w:spacing w:after="0" w:line="250" w:lineRule="auto"/>
        <w:rPr>
          <w:sz w:val="20"/>
          <w:szCs w:val="20"/>
          <w:color w:val="auto"/>
        </w:rPr>
      </w:pPr>
      <w:r>
        <w:rPr>
          <w:rFonts w:ascii="Arial" w:cs="Arial" w:eastAsia="Arial" w:hAnsi="Arial"/>
          <w:sz w:val="22"/>
          <w:szCs w:val="22"/>
          <w:color w:val="auto"/>
        </w:rPr>
        <w:t>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229" w:lineRule="exact"/>
        <w:rPr>
          <w:sz w:val="20"/>
          <w:szCs w:val="20"/>
          <w:color w:val="auto"/>
        </w:rPr>
      </w:pPr>
    </w:p>
    <w:p>
      <w:pPr>
        <w:ind w:right="240" w:firstLine="1953"/>
        <w:spacing w:after="0" w:line="343" w:lineRule="auto"/>
        <w:tabs>
          <w:tab w:leader="none" w:pos="282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45" w:lineRule="exact"/>
        <w:rPr>
          <w:rFonts w:ascii="Arial" w:cs="Arial" w:eastAsia="Arial" w:hAnsi="Arial"/>
          <w:sz w:val="19"/>
          <w:szCs w:val="19"/>
          <w:color w:val="auto"/>
        </w:rPr>
      </w:pPr>
    </w:p>
    <w:p>
      <w:pPr>
        <w:ind w:right="240" w:firstLine="1953"/>
        <w:spacing w:after="0" w:line="263" w:lineRule="auto"/>
        <w:tabs>
          <w:tab w:leader="none" w:pos="2801" w:val="left"/>
        </w:tabs>
        <w:numPr>
          <w:ilvl w:val="0"/>
          <w:numId w:val="182"/>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15"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9(c) shall not be applicable to Clients (including Potential Clients) who are also immediate family members of the Grantee.</w:t>
      </w:r>
    </w:p>
    <w:p>
      <w:pPr>
        <w:spacing w:after="0" w:line="175" w:lineRule="exact"/>
        <w:rPr>
          <w:sz w:val="20"/>
          <w:szCs w:val="20"/>
          <w:color w:val="auto"/>
        </w:rPr>
      </w:pPr>
    </w:p>
    <w:p>
      <w:pPr>
        <w:ind w:right="180" w:firstLine="1305"/>
        <w:spacing w:after="0" w:line="250" w:lineRule="auto"/>
        <w:tabs>
          <w:tab w:leader="none" w:pos="219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9(a),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28" w:lineRule="exact"/>
        <w:rPr>
          <w:rFonts w:ascii="Arial" w:cs="Arial" w:eastAsia="Arial" w:hAnsi="Arial"/>
          <w:sz w:val="22"/>
          <w:szCs w:val="22"/>
          <w:color w:val="auto"/>
        </w:rPr>
      </w:pPr>
    </w:p>
    <w:p>
      <w:pPr>
        <w:ind w:firstLine="1305"/>
        <w:spacing w:after="0" w:line="284" w:lineRule="auto"/>
        <w:tabs>
          <w:tab w:leader="none" w:pos="2185"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 recommendations, investment processes, investment methodologies, products, confidential records, manuals, data, client and contact lists, trade secrets or financial, corporate, marketing or personnel affairs, which the Company or such subsidiary or Affiliate has not released to the general public and all memoranda, notes, papers, items and tangible media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business of the Company or any subsidiary or Affiliate thereof or otherwise at the Company’s request) such Proprietary Information. Anything contained herein to the contrary notwithstanding, this Section 9(e) shall not (i) apply to any knowledge, information or property which (x) is generally known or available to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631" w:right="279" w:bottom="1440" w:gutter="0" w:footer="0" w:header="0"/>
        </w:sectPr>
      </w:pPr>
    </w:p>
    <w:bookmarkStart w:id="144" w:name="page145"/>
    <w:bookmarkEnd w:id="144"/>
    <w:p>
      <w:pPr>
        <w:ind w:right="40"/>
        <w:spacing w:after="0" w:line="258" w:lineRule="auto"/>
        <w:rPr>
          <w:sz w:val="20"/>
          <w:szCs w:val="20"/>
          <w:color w:val="auto"/>
        </w:rPr>
      </w:pPr>
      <w:r>
        <w:rPr>
          <w:rFonts w:ascii="Arial" w:cs="Arial" w:eastAsia="Arial" w:hAnsi="Arial"/>
          <w:sz w:val="21"/>
          <w:szCs w:val="21"/>
          <w:color w:val="auto"/>
        </w:rPr>
        <w:t xml:space="preserve">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 from the Company) with a governmental agency. The Grantee understands that he or she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this immunity from liability, the Grantee may be held liable if he or she accesses trade secrets by unauthorized means.</w:t>
      </w:r>
    </w:p>
    <w:p>
      <w:pPr>
        <w:spacing w:after="0" w:line="224" w:lineRule="exact"/>
        <w:rPr>
          <w:sz w:val="20"/>
          <w:szCs w:val="20"/>
          <w:color w:val="auto"/>
        </w:rPr>
      </w:pPr>
    </w:p>
    <w:p>
      <w:pPr>
        <w:ind w:firstLine="1305"/>
        <w:spacing w:after="0" w:line="286" w:lineRule="auto"/>
        <w:tabs>
          <w:tab w:leader="none" w:pos="216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207" w:lineRule="exact"/>
        <w:rPr>
          <w:rFonts w:ascii="Arial" w:cs="Arial" w:eastAsia="Arial" w:hAnsi="Arial"/>
          <w:sz w:val="19"/>
          <w:szCs w:val="19"/>
          <w:color w:val="auto"/>
        </w:rPr>
      </w:pPr>
    </w:p>
    <w:p>
      <w:pPr>
        <w:ind w:right="120" w:firstLine="1305"/>
        <w:spacing w:after="0" w:line="259" w:lineRule="auto"/>
        <w:tabs>
          <w:tab w:leader="none" w:pos="2197" w:val="left"/>
        </w:tabs>
        <w:numPr>
          <w:ilvl w:val="0"/>
          <w:numId w:val="184"/>
        </w:numPr>
        <w:rPr>
          <w:rFonts w:ascii="Arial" w:cs="Arial" w:eastAsia="Arial" w:hAnsi="Arial"/>
          <w:sz w:val="21"/>
          <w:szCs w:val="21"/>
          <w:color w:val="auto"/>
        </w:rPr>
      </w:pPr>
      <w:r>
        <w:rPr>
          <w:rFonts w:ascii="Arial" w:cs="Arial" w:eastAsia="Arial" w:hAnsi="Arial"/>
          <w:sz w:val="21"/>
          <w:szCs w:val="21"/>
          <w:color w:val="auto"/>
        </w:rPr>
        <w:t>Upon termination of the Grantee’s Employment for any reason, all Proprietary Information in the Grantee’s possession or control shall be returned to the Company and remain in its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224" w:lineRule="exact"/>
        <w:rPr>
          <w:rFonts w:ascii="Arial" w:cs="Arial" w:eastAsia="Arial" w:hAnsi="Arial"/>
          <w:sz w:val="21"/>
          <w:szCs w:val="21"/>
          <w:color w:val="auto"/>
        </w:rPr>
      </w:pPr>
    </w:p>
    <w:p>
      <w:pPr>
        <w:ind w:right="40" w:firstLine="1305"/>
        <w:spacing w:after="0" w:line="250" w:lineRule="auto"/>
        <w:tabs>
          <w:tab w:leader="none" w:pos="219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9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229" w:lineRule="exact"/>
        <w:rPr>
          <w:sz w:val="20"/>
          <w:szCs w:val="20"/>
          <w:color w:val="auto"/>
        </w:rPr>
      </w:pPr>
    </w:p>
    <w:p>
      <w:pPr>
        <w:ind w:right="180" w:firstLine="1305"/>
        <w:spacing w:after="0" w:line="263" w:lineRule="auto"/>
        <w:tabs>
          <w:tab w:leader="none" w:pos="2215"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Remedies Upon Breach</w:t>
      </w:r>
      <w:r>
        <w:rPr>
          <w:rFonts w:ascii="Arial" w:cs="Arial" w:eastAsia="Arial" w:hAnsi="Arial"/>
          <w:sz w:val="22"/>
          <w:szCs w:val="22"/>
          <w:color w:val="auto"/>
        </w:rPr>
        <w:t>. In the event that the Grantee breaches any of the provisions of Section 9 of this Agreement, including, without limitation, following the termination of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31" w:right="259" w:bottom="1440" w:gutter="0" w:footer="0" w:header="0"/>
        </w:sectPr>
      </w:pPr>
    </w:p>
    <w:bookmarkStart w:id="145" w:name="page146"/>
    <w:bookmarkEnd w:id="145"/>
    <w:p>
      <w:pPr>
        <w:spacing w:after="0" w:line="285" w:lineRule="auto"/>
        <w:rPr>
          <w:sz w:val="20"/>
          <w:szCs w:val="20"/>
          <w:color w:val="auto"/>
        </w:rPr>
      </w:pPr>
      <w:r>
        <w:rPr>
          <w:rFonts w:ascii="Arial" w:cs="Arial" w:eastAsia="Arial" w:hAnsi="Arial"/>
          <w:sz w:val="19"/>
          <w:szCs w:val="19"/>
          <w:color w:val="auto"/>
        </w:rPr>
        <w:t>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10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w:t>
      </w:r>
    </w:p>
    <w:p>
      <w:pPr>
        <w:spacing w:after="0" w:line="200" w:lineRule="exact"/>
        <w:rPr>
          <w:sz w:val="20"/>
          <w:szCs w:val="20"/>
          <w:color w:val="auto"/>
        </w:rPr>
      </w:pPr>
    </w:p>
    <w:p>
      <w:pPr>
        <w:spacing w:after="0" w:line="256" w:lineRule="exact"/>
        <w:rPr>
          <w:sz w:val="20"/>
          <w:szCs w:val="20"/>
          <w:color w:val="auto"/>
        </w:rPr>
      </w:pPr>
    </w:p>
    <w:p>
      <w:pPr>
        <w:ind w:left="2220" w:hanging="915"/>
        <w:spacing w:after="0"/>
        <w:tabs>
          <w:tab w:leader="none" w:pos="222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60" w:lineRule="exact"/>
        <w:rPr>
          <w:sz w:val="20"/>
          <w:szCs w:val="20"/>
          <w:color w:val="auto"/>
        </w:rPr>
      </w:pPr>
    </w:p>
    <w:p>
      <w:pPr>
        <w:jc w:val="both"/>
        <w:ind w:right="180" w:firstLine="1305"/>
        <w:spacing w:after="0" w:line="297" w:lineRule="auto"/>
        <w:tabs>
          <w:tab w:leader="none" w:pos="218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Grantee’s Employment may be terminated at any time by the Company or, if different, any subsidiary or Affiliate of the Company that is the Grantee’s employer (the “</w:t>
      </w:r>
      <w:r>
        <w:rPr>
          <w:rFonts w:ascii="Arial" w:cs="Arial" w:eastAsia="Arial" w:hAnsi="Arial"/>
          <w:sz w:val="19"/>
          <w:szCs w:val="19"/>
          <w:u w:val="single" w:color="auto"/>
          <w:color w:val="auto"/>
        </w:rPr>
        <w:t>Grantee’s employer</w:t>
      </w:r>
      <w:r>
        <w:rPr>
          <w:rFonts w:ascii="Arial" w:cs="Arial" w:eastAsia="Arial" w:hAnsi="Arial"/>
          <w:sz w:val="19"/>
          <w:szCs w:val="19"/>
          <w:color w:val="auto"/>
        </w:rPr>
        <w:t xml:space="preserve">”), or by the Grantee;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Grantee (but not the Company or, if different, the Grantee’s employer) shall be required to provide at least six (6) months advance written notice of such termination. For the avoidance of doubt, for purposes of Section 9 of this Agreement, termination of Employment shall be deemed to occur upon delivery of notice of termination by the Grantee.</w:t>
      </w:r>
    </w:p>
    <w:p>
      <w:pPr>
        <w:spacing w:after="0" w:line="187" w:lineRule="exact"/>
        <w:rPr>
          <w:rFonts w:ascii="Arial" w:cs="Arial" w:eastAsia="Arial" w:hAnsi="Arial"/>
          <w:sz w:val="19"/>
          <w:szCs w:val="19"/>
          <w:color w:val="auto"/>
        </w:rPr>
      </w:pPr>
    </w:p>
    <w:p>
      <w:pPr>
        <w:ind w:right="40" w:firstLine="1305"/>
        <w:spacing w:after="0" w:line="246" w:lineRule="auto"/>
        <w:tabs>
          <w:tab w:leader="none" w:pos="219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him or her (i) not to attend any premises of the Company or any subsidiary or Affiliate thereof, (ii) to resign with immediate effect from any offices he or she holds with the Company or any subsidiary or Affiliate thereof (or any Client thereof), (iii) to refrain from any business contact with any Clients, partners or employees of the Company or any subsidiary or Affiliate thereof, and (iv) to take any leave time he or she has accrued under the policies of the Company or any subsidiary or Affiliate thereof.</w:t>
      </w:r>
    </w:p>
    <w:p>
      <w:pPr>
        <w:spacing w:after="0" w:line="237" w:lineRule="exact"/>
        <w:rPr>
          <w:rFonts w:ascii="Arial" w:cs="Arial" w:eastAsia="Arial" w:hAnsi="Arial"/>
          <w:sz w:val="22"/>
          <w:szCs w:val="22"/>
          <w:color w:val="auto"/>
        </w:rPr>
      </w:pPr>
    </w:p>
    <w:p>
      <w:pPr>
        <w:ind w:right="40" w:firstLine="1305"/>
        <w:spacing w:after="0" w:line="250" w:lineRule="auto"/>
        <w:tabs>
          <w:tab w:leader="none" w:pos="218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Notwithstanding the foregoing, if the Grantee is a party to an employment agreement with the Company or any subsidiary or Affiliate thereof, any terms of such employment agreement shall supersede and apply in precedence to the provisions of clauses (a) and (b) of this Section 11, and clauses (a) and (b) of this Section 11 shall not be taken to amend the related terms of such employment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631" w:right="259" w:bottom="1440" w:gutter="0" w:footer="0" w:header="0"/>
        </w:sectPr>
      </w:pPr>
    </w:p>
    <w:bookmarkStart w:id="146" w:name="page147"/>
    <w:bookmarkEnd w:id="146"/>
    <w:p>
      <w:pPr>
        <w:ind w:left="-20" w:right="20" w:firstLine="1305"/>
        <w:spacing w:after="0" w:line="312" w:lineRule="auto"/>
        <w:tabs>
          <w:tab w:leader="none" w:pos="217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his or her departure without the prior written consent of the Company.</w:t>
      </w:r>
    </w:p>
    <w:p>
      <w:pPr>
        <w:spacing w:after="0" w:line="174" w:lineRule="exact"/>
        <w:rPr>
          <w:sz w:val="20"/>
          <w:szCs w:val="20"/>
          <w:color w:val="auto"/>
        </w:rPr>
      </w:pPr>
    </w:p>
    <w:p>
      <w:pPr>
        <w:ind w:left="-20" w:right="40" w:firstLine="1305"/>
        <w:spacing w:after="0" w:line="312" w:lineRule="auto"/>
        <w:tabs>
          <w:tab w:leader="none" w:pos="2195"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In exchange for the consideration herein, the Grantee agrees that he or she will not make any disparaging, derogatory, damaging, and/or critical statements concerning the Company or any subsidiaries or any of their respective affiliates, partners, officers, directors, employees, services, products and/or activities.</w:t>
      </w:r>
    </w:p>
    <w:p>
      <w:pPr>
        <w:spacing w:after="0" w:line="174" w:lineRule="exact"/>
        <w:rPr>
          <w:rFonts w:ascii="Arial" w:cs="Arial" w:eastAsia="Arial" w:hAnsi="Arial"/>
          <w:sz w:val="19"/>
          <w:szCs w:val="19"/>
          <w:color w:val="auto"/>
        </w:rPr>
      </w:pPr>
    </w:p>
    <w:p>
      <w:pPr>
        <w:ind w:left="2200" w:hanging="915"/>
        <w:spacing w:after="0"/>
        <w:tabs>
          <w:tab w:leader="none" w:pos="2200"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60" w:lineRule="exact"/>
        <w:rPr>
          <w:sz w:val="20"/>
          <w:szCs w:val="20"/>
          <w:color w:val="auto"/>
        </w:rPr>
      </w:pPr>
    </w:p>
    <w:p>
      <w:pPr>
        <w:ind w:left="-20" w:firstLine="1305"/>
        <w:spacing w:after="0" w:line="265" w:lineRule="auto"/>
        <w:tabs>
          <w:tab w:leader="none" w:pos="216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The Grantee hereby confirms that he or she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216" w:lineRule="exact"/>
        <w:rPr>
          <w:rFonts w:ascii="Arial" w:cs="Arial" w:eastAsia="Arial" w:hAnsi="Arial"/>
          <w:sz w:val="21"/>
          <w:szCs w:val="21"/>
          <w:color w:val="auto"/>
        </w:rPr>
      </w:pPr>
    </w:p>
    <w:p>
      <w:pPr>
        <w:ind w:left="-20" w:right="100" w:firstLine="1305"/>
        <w:spacing w:after="0" w:line="250" w:lineRule="auto"/>
        <w:tabs>
          <w:tab w:leader="none" w:pos="217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9, 10, 11, 12, 14, 15, 16 and 18 of this Agreement. This right is subject to (i) the rights of the parties hereto to rescind or vary this Agreement without the consent of any such subsidiary or Affiliate and (ii) the other terms and conditions of this Agreement and the Plan.</w:t>
      </w:r>
    </w:p>
    <w:p>
      <w:pPr>
        <w:spacing w:after="0" w:line="229" w:lineRule="exact"/>
        <w:rPr>
          <w:sz w:val="20"/>
          <w:szCs w:val="20"/>
          <w:color w:val="auto"/>
        </w:rPr>
      </w:pPr>
    </w:p>
    <w:p>
      <w:pPr>
        <w:ind w:left="-20" w:firstLine="1305"/>
        <w:spacing w:after="0" w:line="294" w:lineRule="auto"/>
        <w:tabs>
          <w:tab w:leader="none" w:pos="2195"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his or her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90" w:lineRule="exact"/>
        <w:rPr>
          <w:rFonts w:ascii="Arial" w:cs="Arial" w:eastAsia="Arial" w:hAnsi="Arial"/>
          <w:sz w:val="19"/>
          <w:szCs w:val="19"/>
          <w:color w:val="auto"/>
        </w:rPr>
      </w:pPr>
    </w:p>
    <w:p>
      <w:pPr>
        <w:ind w:left="-20" w:right="40" w:firstLine="1305"/>
        <w:spacing w:after="0" w:line="258" w:lineRule="auto"/>
        <w:tabs>
          <w:tab w:leader="none" w:pos="2195"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To the extent permitted by law, the Company, the Grantee’s employer or their agents shall have the right to withhold or deduct from any distributions (including any Shares acquired or otherwise deliverable and the payment of other amounts with respect to such Shares) or payments to the Grantee the minimum amount of taxes and any social security contributions required to be withheld or deducted by federal, state or local governments. The Grantee expressly acknowledges and agrees that his or her rights hereunder are subject to his or her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 payment hereunder) the minimum amount of taxes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60" w:top="888" w:right="259" w:bottom="1440" w:gutter="0" w:footer="0" w:header="0"/>
        </w:sectPr>
      </w:pPr>
    </w:p>
    <w:bookmarkStart w:id="147" w:name="page148"/>
    <w:bookmarkEnd w:id="147"/>
    <w:p>
      <w:pPr>
        <w:ind w:left="-40" w:right="820" w:firstLine="1305"/>
        <w:spacing w:after="0" w:line="263" w:lineRule="auto"/>
        <w:tabs>
          <w:tab w:leader="none" w:pos="2175"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Pensionable Pay</w:t>
      </w:r>
      <w:r>
        <w:rPr>
          <w:rFonts w:ascii="Arial" w:cs="Arial" w:eastAsia="Arial" w:hAnsi="Arial"/>
          <w:sz w:val="22"/>
          <w:szCs w:val="22"/>
          <w:color w:val="auto"/>
        </w:rPr>
        <w:t>. For Grantees that are non-U.S. employees, the Award shall not form part of the Grantee’s pensionable pay.</w:t>
      </w:r>
    </w:p>
    <w:p>
      <w:pPr>
        <w:spacing w:after="0" w:line="215" w:lineRule="exact"/>
        <w:rPr>
          <w:rFonts w:ascii="Arial" w:cs="Arial" w:eastAsia="Arial" w:hAnsi="Arial"/>
          <w:sz w:val="22"/>
          <w:szCs w:val="22"/>
          <w:color w:val="auto"/>
        </w:rPr>
      </w:pPr>
    </w:p>
    <w:p>
      <w:pPr>
        <w:ind w:left="2180" w:hanging="915"/>
        <w:spacing w:after="0"/>
        <w:tabs>
          <w:tab w:leader="none" w:pos="218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60" w:lineRule="exact"/>
        <w:rPr>
          <w:sz w:val="20"/>
          <w:szCs w:val="20"/>
          <w:color w:val="auto"/>
        </w:rPr>
      </w:pPr>
    </w:p>
    <w:p>
      <w:pPr>
        <w:ind w:left="-40" w:right="160" w:firstLine="1305"/>
        <w:spacing w:after="0" w:line="253" w:lineRule="auto"/>
        <w:tabs>
          <w:tab w:leader="none" w:pos="214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This Agreement is intended either to be exempt from or compliant with Section 409A of the Code (including the Treasury Regulations and guidance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and all provisions of this Agreement shall be construed and administered accordingly.</w:t>
      </w:r>
    </w:p>
    <w:p>
      <w:pPr>
        <w:spacing w:after="0" w:line="226" w:lineRule="exact"/>
        <w:rPr>
          <w:rFonts w:ascii="Arial" w:cs="Arial" w:eastAsia="Arial" w:hAnsi="Arial"/>
          <w:sz w:val="22"/>
          <w:szCs w:val="22"/>
          <w:color w:val="auto"/>
        </w:rPr>
      </w:pPr>
    </w:p>
    <w:p>
      <w:pPr>
        <w:ind w:left="-40" w:right="20" w:firstLine="1305"/>
        <w:spacing w:after="0" w:line="247" w:lineRule="auto"/>
        <w:tabs>
          <w:tab w:leader="none" w:pos="2157" w:val="left"/>
        </w:tabs>
        <w:numPr>
          <w:ilvl w:val="0"/>
          <w:numId w:val="19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if the Grantee is determined by the Administrator to be a “specified employee” within the meaning of Section 409A at the time of the Grantee’s separation from service, any and all payments, settlements or distributions under this Agreement that constitute nonqualified deferred compensation under Section 409A and that would (but for this provision) be paid, settled or distributed within six (6) months following the date of termination will be delayed until the earlier of (i) the date that is six (6) months and one day following the Grantee’s separation from service, and (ii) the date of the Grantee’s death.</w:t>
      </w:r>
    </w:p>
    <w:p>
      <w:pPr>
        <w:spacing w:after="0" w:line="234" w:lineRule="exact"/>
        <w:rPr>
          <w:rFonts w:ascii="Arial" w:cs="Arial" w:eastAsia="Arial" w:hAnsi="Arial"/>
          <w:sz w:val="22"/>
          <w:szCs w:val="22"/>
          <w:color w:val="auto"/>
        </w:rPr>
      </w:pPr>
    </w:p>
    <w:p>
      <w:pPr>
        <w:ind w:left="-40" w:right="220" w:firstLine="1305"/>
        <w:spacing w:after="0" w:line="253" w:lineRule="auto"/>
        <w:tabs>
          <w:tab w:leader="none" w:pos="214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In no event shall the Company or any of its subsidiaries or Affiliates have any liability relating to the failure or alleged failure of any payment or benefit under this Agreement to comply with, or be exempt from, the requirements of Section 409A.</w:t>
      </w:r>
    </w:p>
    <w:p>
      <w:pPr>
        <w:spacing w:after="0" w:line="226" w:lineRule="exact"/>
        <w:rPr>
          <w:sz w:val="20"/>
          <w:szCs w:val="20"/>
          <w:color w:val="auto"/>
        </w:rPr>
      </w:pPr>
    </w:p>
    <w:p>
      <w:pPr>
        <w:ind w:left="2180" w:hanging="915"/>
        <w:spacing w:after="0"/>
        <w:tabs>
          <w:tab w:leader="none" w:pos="218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sz w:val="20"/>
          <w:szCs w:val="20"/>
          <w:color w:val="auto"/>
        </w:rPr>
      </w:pPr>
    </w:p>
    <w:p>
      <w:pPr>
        <w:ind w:left="-40" w:firstLine="1305"/>
        <w:spacing w:after="0" w:line="294" w:lineRule="auto"/>
        <w:tabs>
          <w:tab w:leader="none" w:pos="214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Company shall maintain an account on its books in the name of the Grantee which shall reflect the amount of the Award granted to the Grantee and the number of Notional Shares. The Grantee acknowledges and agrees that the Company (i) may hold any Shares issued and distributed in settlement of this Award on behalf of the Grantee, until such time as the Grantee submits a request for delivery, and (ii) will exercise voting rights and take all other corporate actions for any Shares issued pursuant to this Award for such time as any such Shares may be held by the Company on behalf of the Grantee, unless the Grantee provides written notice to the Human Resources Department to the contrary.</w:t>
      </w:r>
    </w:p>
    <w:p>
      <w:pPr>
        <w:spacing w:after="0" w:line="190" w:lineRule="exact"/>
        <w:rPr>
          <w:rFonts w:ascii="Arial" w:cs="Arial" w:eastAsia="Arial" w:hAnsi="Arial"/>
          <w:sz w:val="19"/>
          <w:szCs w:val="19"/>
          <w:color w:val="auto"/>
        </w:rPr>
      </w:pPr>
    </w:p>
    <w:p>
      <w:pPr>
        <w:ind w:left="-40" w:right="540" w:firstLine="1305"/>
        <w:spacing w:after="0" w:line="253" w:lineRule="auto"/>
        <w:tabs>
          <w:tab w:leader="none" w:pos="215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226" w:lineRule="exact"/>
        <w:rPr>
          <w:rFonts w:ascii="Arial" w:cs="Arial" w:eastAsia="Arial" w:hAnsi="Arial"/>
          <w:sz w:val="22"/>
          <w:szCs w:val="22"/>
          <w:color w:val="auto"/>
        </w:rPr>
      </w:pPr>
    </w:p>
    <w:p>
      <w:pPr>
        <w:ind w:left="-40" w:right="20" w:firstLine="1305"/>
        <w:spacing w:after="0" w:line="258" w:lineRule="auto"/>
        <w:tabs>
          <w:tab w:leader="none" w:pos="2145"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Grantee hereby acknowledges and agrees to the following: (i) this Award is offered to the Grantee at the complete discretion of the Company; (ii) the Plan and this Award do not form part of any contract of employment 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his or her favor with respect to any discretionary terms in this Award.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60"/>
          </w:cols>
          <w:pgMar w:left="280" w:top="631" w:right="259" w:bottom="1440" w:gutter="0" w:footer="0" w:header="0"/>
        </w:sectPr>
      </w:pPr>
    </w:p>
    <w:bookmarkStart w:id="148" w:name="page149"/>
    <w:bookmarkEnd w:id="148"/>
    <w:p>
      <w:pPr>
        <w:ind w:firstLine="1305"/>
        <w:spacing w:after="0" w:line="247" w:lineRule="auto"/>
        <w:tabs>
          <w:tab w:leader="none" w:pos="219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his ceasing to have rights under or be entitled to this Award as a result of such termination or from the loss or diminution in value of such rights or entitlements. In the event of any conflict between the terms of this Section 18(d) and the Grantee’s terms of employment, this Section 18(d) shall take precedence (except as required by applicable legislation).</w:t>
      </w:r>
    </w:p>
    <w:p>
      <w:pPr>
        <w:spacing w:after="0" w:line="234" w:lineRule="exact"/>
        <w:rPr>
          <w:rFonts w:ascii="Arial" w:cs="Arial" w:eastAsia="Arial" w:hAnsi="Arial"/>
          <w:sz w:val="22"/>
          <w:szCs w:val="22"/>
          <w:color w:val="auto"/>
        </w:rPr>
      </w:pPr>
    </w:p>
    <w:p>
      <w:pPr>
        <w:jc w:val="both"/>
        <w:ind w:firstLine="1305"/>
        <w:spacing w:after="0" w:line="271" w:lineRule="auto"/>
        <w:tabs>
          <w:tab w:leader="none" w:pos="218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Pursuant to the provisions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208" w:lineRule="exact"/>
        <w:rPr>
          <w:rFonts w:ascii="Arial" w:cs="Arial" w:eastAsia="Arial" w:hAnsi="Arial"/>
          <w:sz w:val="21"/>
          <w:szCs w:val="21"/>
          <w:color w:val="auto"/>
        </w:rPr>
      </w:pPr>
    </w:p>
    <w:p>
      <w:pPr>
        <w:ind w:right="40" w:firstLine="1305"/>
        <w:spacing w:after="0" w:line="290" w:lineRule="auto"/>
        <w:tabs>
          <w:tab w:leader="none" w:pos="216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him or her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97" w:lineRule="exact"/>
        <w:rPr>
          <w:rFonts w:ascii="Arial" w:cs="Arial" w:eastAsia="Arial" w:hAnsi="Arial"/>
          <w:sz w:val="19"/>
          <w:szCs w:val="19"/>
          <w:color w:val="auto"/>
        </w:rPr>
      </w:pPr>
    </w:p>
    <w:p>
      <w:pPr>
        <w:ind w:right="40" w:firstLine="1305"/>
        <w:spacing w:after="0" w:line="258" w:lineRule="auto"/>
        <w:tabs>
          <w:tab w:leader="none" w:pos="219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his or her termination of Employment (or other applicable service relationship) with the Company or any of its subsidiaries or Affiliates, Section 9(a)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226" w:lineRule="exact"/>
        <w:rPr>
          <w:rFonts w:ascii="Arial" w:cs="Arial" w:eastAsia="Arial" w:hAnsi="Arial"/>
          <w:sz w:val="21"/>
          <w:szCs w:val="21"/>
          <w:color w:val="auto"/>
        </w:rPr>
      </w:pPr>
    </w:p>
    <w:p>
      <w:pPr>
        <w:jc w:val="both"/>
        <w:ind w:right="220" w:firstLine="1305"/>
        <w:spacing w:after="0" w:line="288" w:lineRule="auto"/>
        <w:tabs>
          <w:tab w:leader="none" w:pos="219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Grantee hereby acknowledges that he or she has read this Agreement, including, without limitation, Section 9(a), thoroughly, is satisfied that he or she understands it completely, and agrees to be bound by the terms and conditions set forth herein. The Grantee understands that he or she has the right to consult an attorney before signing this Agreement.</w:t>
      </w:r>
    </w:p>
    <w:p>
      <w:pPr>
        <w:spacing w:after="0" w:line="1" w:lineRule="exact"/>
        <w:rPr>
          <w:rFonts w:ascii="Arial" w:cs="Arial" w:eastAsia="Arial" w:hAnsi="Arial"/>
          <w:sz w:val="19"/>
          <w:szCs w:val="19"/>
          <w:color w:val="auto"/>
        </w:rPr>
      </w:pPr>
    </w:p>
    <w:p>
      <w:pPr>
        <w:ind w:right="160"/>
        <w:spacing w:after="0" w:line="246" w:lineRule="auto"/>
        <w:rPr>
          <w:rFonts w:ascii="Arial" w:cs="Arial" w:eastAsia="Arial" w:hAnsi="Arial"/>
          <w:sz w:val="19"/>
          <w:szCs w:val="19"/>
          <w:color w:val="auto"/>
        </w:rPr>
      </w:pPr>
      <w:r>
        <w:rPr>
          <w:rFonts w:ascii="Arial" w:cs="Arial" w:eastAsia="Arial" w:hAnsi="Arial"/>
          <w:sz w:val="22"/>
          <w:szCs w:val="22"/>
          <w:color w:val="auto"/>
        </w:rPr>
        <w:t xml:space="preserve">Notwithstanding anything to the contrary herein, Section 9(a)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33" w:lineRule="exact"/>
        <w:rPr>
          <w:rFonts w:ascii="Arial" w:cs="Arial" w:eastAsia="Arial" w:hAnsi="Arial"/>
          <w:sz w:val="19"/>
          <w:szCs w:val="19"/>
          <w:color w:val="auto"/>
        </w:rPr>
      </w:pPr>
    </w:p>
    <w:p>
      <w:pPr>
        <w:ind w:left="2160" w:hanging="855"/>
        <w:spacing w:after="0"/>
        <w:tabs>
          <w:tab w:leader="none" w:pos="21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this Award shall be, and the Grantee hereby</w:t>
      </w:r>
    </w:p>
    <w:p>
      <w:pPr>
        <w:spacing w:after="0" w:line="22" w:lineRule="exact"/>
        <w:rPr>
          <w:sz w:val="20"/>
          <w:szCs w:val="20"/>
          <w:color w:val="auto"/>
        </w:rPr>
      </w:pPr>
    </w:p>
    <w:p>
      <w:pPr>
        <w:jc w:val="right"/>
        <w:ind w:right="3520"/>
        <w:spacing w:after="0" w:line="246" w:lineRule="auto"/>
        <w:rPr>
          <w:sz w:val="20"/>
          <w:szCs w:val="20"/>
          <w:color w:val="auto"/>
        </w:rPr>
      </w:pPr>
      <w:r>
        <w:rPr>
          <w:rFonts w:ascii="Arial" w:cs="Arial" w:eastAsia="Arial" w:hAnsi="Arial"/>
          <w:sz w:val="22"/>
          <w:szCs w:val="22"/>
          <w:color w:val="auto"/>
        </w:rPr>
        <w:t>acknowledges that it is, subject to and governed by all the terms and conditions of the Plan. [Remainder of this page is intentionally left blank]</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David M. Billings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8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 Agreement</w:t>
      </w:r>
      <w:r>
        <w:rPr>
          <w:rFonts w:ascii="Arial" w:cs="Arial" w:eastAsia="Arial" w:hAnsi="Arial"/>
          <w:sz w:val="22"/>
          <w:szCs w:val="22"/>
          <w:color w:val="auto"/>
        </w:rPr>
        <w:t>]</w:t>
      </w:r>
    </w:p>
    <w:p>
      <w:pPr>
        <w:sectPr>
          <w:pgSz w:w="11900" w:h="16838" w:orient="portrait"/>
          <w:cols w:equalWidth="0" w:num="1">
            <w:col w:w="10900"/>
          </w:cols>
          <w:pgMar w:left="240" w:top="1104" w:right="7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Below is a list comprised of (i) wholly-owned subsidiaries of Affiliated Managers Group, Inc. (the “Company”), (ii) entities in which the Company has a majority interest (direct and indirect) and (iii) entities in which the Company has a minority investment (direct and indirect), as of December 31, 2018. Minority investments are indicated via asterisk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216 Acquisition,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4444582 Canada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Abacos Atlantic Holdings Ltd., a Bahamas international business company</w:t>
      </w:r>
    </w:p>
    <w:p>
      <w:pPr>
        <w:spacing w:after="0" w:line="9"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Abax Investments Proprietary Limited, a limited liability private company incorporated in South Africa* Affiliated Managers Group (Asia) Limited, a Cayman Islands exempted company</w:t>
      </w:r>
    </w:p>
    <w:p>
      <w:pPr>
        <w:spacing w:after="0" w:line="1" w:lineRule="exact"/>
        <w:rPr>
          <w:sz w:val="20"/>
          <w:szCs w:val="20"/>
          <w:color w:val="auto"/>
        </w:rPr>
      </w:pPr>
    </w:p>
    <w:p>
      <w:pPr>
        <w:ind w:right="4380"/>
        <w:spacing w:after="0" w:line="265" w:lineRule="auto"/>
        <w:rPr>
          <w:sz w:val="20"/>
          <w:szCs w:val="20"/>
          <w:color w:val="auto"/>
        </w:rPr>
      </w:pPr>
      <w:r>
        <w:rPr>
          <w:rFonts w:ascii="Arial" w:cs="Arial" w:eastAsia="Arial" w:hAnsi="Arial"/>
          <w:sz w:val="17"/>
          <w:szCs w:val="17"/>
          <w:color w:val="auto"/>
        </w:rPr>
        <w:t>Affiliated Managers Group (Hong Kong) Limited, a limited company incorporated in Hong Kong Affiliated Managers Group (Ireland) Limited, an Ireland private limited company</w:t>
      </w:r>
    </w:p>
    <w:p>
      <w:pPr>
        <w:ind w:right="4740"/>
        <w:spacing w:after="0" w:line="250" w:lineRule="auto"/>
        <w:rPr>
          <w:sz w:val="20"/>
          <w:szCs w:val="20"/>
          <w:color w:val="auto"/>
        </w:rPr>
      </w:pPr>
      <w:r>
        <w:rPr>
          <w:rFonts w:ascii="Arial" w:cs="Arial" w:eastAsia="Arial" w:hAnsi="Arial"/>
          <w:sz w:val="18"/>
          <w:szCs w:val="18"/>
          <w:color w:val="auto"/>
        </w:rPr>
        <w:t>Affiliated Managers Group Limited, a limited company incorporated in the United Kingdom Affiliated Managers Group Pty Ltd, a limited company incorporated in Australia Affiliated Managers Group (Switzerland) AG, a company incorporated in Switzerland AKH Holdings LLC, a Delaware limited liability company AMG 2014 Capital LLC, a Delaware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AMG Andros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Arrow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Atlantic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Boston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Cipher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1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3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CVC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Distributors,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Edison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Funds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Gamma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Global,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Gotham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GWK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Investment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PA Holdings Partnership, a Delaware general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PFM Holdings LP, a Delaware limited partnership</w:t>
      </w:r>
    </w:p>
    <w:p>
      <w:pPr>
        <w:spacing w:after="0" w:line="9" w:lineRule="exact"/>
        <w:rPr>
          <w:sz w:val="20"/>
          <w:szCs w:val="20"/>
          <w:color w:val="auto"/>
        </w:rPr>
      </w:pPr>
    </w:p>
    <w:p>
      <w:pPr>
        <w:ind w:right="4360"/>
        <w:spacing w:after="0" w:line="250" w:lineRule="auto"/>
        <w:rPr>
          <w:sz w:val="20"/>
          <w:szCs w:val="20"/>
          <w:color w:val="auto"/>
        </w:rPr>
      </w:pPr>
      <w:r>
        <w:rPr>
          <w:rFonts w:ascii="Arial" w:cs="Arial" w:eastAsia="Arial" w:hAnsi="Arial"/>
          <w:sz w:val="18"/>
          <w:szCs w:val="18"/>
          <w:color w:val="auto"/>
        </w:rPr>
        <w:t>AMG Plymouth UK Holdings (1) Limited, a limited company incorporated in England and Wales AMG Properties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AMG Renaissance Holdings LLC, a Delaware limited liability company</w:t>
      </w:r>
    </w:p>
    <w:p>
      <w:pPr>
        <w:spacing w:after="0" w:line="9" w:lineRule="exact"/>
        <w:rPr>
          <w:sz w:val="20"/>
          <w:szCs w:val="20"/>
          <w:color w:val="auto"/>
        </w:rPr>
      </w:pPr>
    </w:p>
    <w:p>
      <w:pPr>
        <w:ind w:right="3860"/>
        <w:spacing w:after="0" w:line="250" w:lineRule="auto"/>
        <w:rPr>
          <w:sz w:val="20"/>
          <w:szCs w:val="20"/>
          <w:color w:val="auto"/>
        </w:rPr>
      </w:pPr>
      <w:r>
        <w:rPr>
          <w:rFonts w:ascii="Arial" w:cs="Arial" w:eastAsia="Arial" w:hAnsi="Arial"/>
          <w:sz w:val="18"/>
          <w:szCs w:val="18"/>
          <w:color w:val="auto"/>
        </w:rPr>
        <w:t>AMG SA Holdings Proprietary Limited, a limited liability private company incorporated in South Africa AMG SSAM Holdings, LLC, a Delaware limited liability company AMG TBC,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AMG UK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Wealth Partners,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WF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Windermere Holdings Ltd., a Bahamas international business company</w:t>
      </w:r>
    </w:p>
    <w:p>
      <w:pPr>
        <w:sectPr>
          <w:pgSz w:w="11900" w:h="16838" w:orient="portrait"/>
          <w:cols w:equalWidth="0" w:num="1">
            <w:col w:w="11420"/>
          </w:cols>
          <w:pgMar w:left="240" w:top="58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AMG WP GP Holdings Corp.,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AMG WP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(Europe)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(Germany) GmbH, a Germany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Holdings (B-D),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Capital Management (UK Services) Limited, a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International Limited,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AQR Investments,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 Bidco Limited, a limited company incorporated in the United Kingdom</w:t>
      </w:r>
    </w:p>
    <w:p>
      <w:pPr>
        <w:spacing w:after="0" w:line="9" w:lineRule="exact"/>
        <w:rPr>
          <w:sz w:val="20"/>
          <w:szCs w:val="20"/>
          <w:color w:val="auto"/>
        </w:rPr>
      </w:pPr>
    </w:p>
    <w:p>
      <w:pPr>
        <w:ind w:right="3499"/>
        <w:spacing w:after="0" w:line="281" w:lineRule="auto"/>
        <w:rPr>
          <w:sz w:val="20"/>
          <w:szCs w:val="20"/>
          <w:color w:val="auto"/>
        </w:rPr>
      </w:pPr>
      <w:r>
        <w:rPr>
          <w:rFonts w:ascii="Arial" w:cs="Arial" w:eastAsia="Arial" w:hAnsi="Arial"/>
          <w:sz w:val="16"/>
          <w:szCs w:val="16"/>
          <w:color w:val="auto"/>
        </w:rPr>
        <w:t>Artemis Asset Management Limited, a limited company incorporated in the United Kingdom Artemis Fund Managers Limited, a limited company incorporated in the United Kingdom Artemis Investment Management LLP, a United Kingdom limited liability partnership</w:t>
      </w:r>
    </w:p>
    <w:p>
      <w:pPr>
        <w:spacing w:after="0" w:line="2" w:lineRule="exact"/>
        <w:rPr>
          <w:sz w:val="20"/>
          <w:szCs w:val="20"/>
          <w:color w:val="auto"/>
        </w:rPr>
      </w:pPr>
    </w:p>
    <w:p>
      <w:pPr>
        <w:ind w:right="2799"/>
        <w:spacing w:after="0" w:line="250" w:lineRule="auto"/>
        <w:rPr>
          <w:sz w:val="20"/>
          <w:szCs w:val="20"/>
          <w:color w:val="auto"/>
        </w:rPr>
      </w:pPr>
      <w:r>
        <w:rPr>
          <w:rFonts w:ascii="Arial" w:cs="Arial" w:eastAsia="Arial" w:hAnsi="Arial"/>
          <w:sz w:val="18"/>
          <w:szCs w:val="18"/>
          <w:color w:val="auto"/>
        </w:rPr>
        <w:t>Artemis Strategic Asset Management Limited, a limited company incorporated in the United Kingdom Baker Street Advisors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Baring Private Equity Asia Group Investments Ltd, a Mauritius company*</w:t>
      </w:r>
    </w:p>
    <w:p>
      <w:pPr>
        <w:spacing w:after="0" w:line="9" w:lineRule="exact"/>
        <w:rPr>
          <w:sz w:val="20"/>
          <w:szCs w:val="20"/>
          <w:color w:val="auto"/>
        </w:rPr>
      </w:pPr>
    </w:p>
    <w:p>
      <w:pPr>
        <w:ind w:right="4239"/>
        <w:spacing w:after="0" w:line="265" w:lineRule="auto"/>
        <w:rPr>
          <w:sz w:val="20"/>
          <w:szCs w:val="20"/>
          <w:color w:val="auto"/>
        </w:rPr>
      </w:pPr>
      <w:r>
        <w:rPr>
          <w:rFonts w:ascii="Arial" w:cs="Arial" w:eastAsia="Arial" w:hAnsi="Arial"/>
          <w:sz w:val="17"/>
          <w:szCs w:val="17"/>
          <w:color w:val="auto"/>
        </w:rPr>
        <w:t>Baring Private Equity Asia Group Limited, a Cayman Islands exempted company* Baring Private Equity Asia K.K., a company incorporated in Japan*</w:t>
      </w:r>
    </w:p>
    <w:p>
      <w:pPr>
        <w:ind w:right="4099"/>
        <w:spacing w:after="0" w:line="250" w:lineRule="auto"/>
        <w:rPr>
          <w:sz w:val="20"/>
          <w:szCs w:val="20"/>
          <w:color w:val="auto"/>
        </w:rPr>
      </w:pPr>
      <w:r>
        <w:rPr>
          <w:rFonts w:ascii="Arial" w:cs="Arial" w:eastAsia="Arial" w:hAnsi="Arial"/>
          <w:sz w:val="18"/>
          <w:szCs w:val="18"/>
          <w:color w:val="auto"/>
        </w:rPr>
        <w:t>Baring Private Equity Asia Limited, a limited company incorporated in Hong Kong* Baring Private Equity Asia (Mauritius) Limited, a Mauritius company*</w:t>
      </w:r>
    </w:p>
    <w:p>
      <w:pPr>
        <w:spacing w:after="0" w:line="1" w:lineRule="exact"/>
        <w:rPr>
          <w:sz w:val="20"/>
          <w:szCs w:val="20"/>
          <w:color w:val="auto"/>
        </w:rPr>
      </w:pPr>
    </w:p>
    <w:p>
      <w:pPr>
        <w:ind w:right="3399"/>
        <w:spacing w:after="0" w:line="250" w:lineRule="auto"/>
        <w:rPr>
          <w:sz w:val="20"/>
          <w:szCs w:val="20"/>
          <w:color w:val="auto"/>
        </w:rPr>
      </w:pPr>
      <w:r>
        <w:rPr>
          <w:rFonts w:ascii="Arial" w:cs="Arial" w:eastAsia="Arial" w:hAnsi="Arial"/>
          <w:sz w:val="18"/>
          <w:szCs w:val="18"/>
          <w:color w:val="auto"/>
        </w:rPr>
        <w:t>Baring Private Equity Asia Pte Limited, a private limited company incorporated in Singapore* BPE Asia Real Estate Limited, a Cayman Islands exempted company*</w:t>
      </w:r>
    </w:p>
    <w:p>
      <w:pPr>
        <w:spacing w:after="0" w:line="1" w:lineRule="exact"/>
        <w:rPr>
          <w:sz w:val="20"/>
          <w:szCs w:val="20"/>
          <w:color w:val="auto"/>
        </w:rPr>
      </w:pPr>
    </w:p>
    <w:p>
      <w:pPr>
        <w:ind w:right="4259"/>
        <w:spacing w:after="0" w:line="265" w:lineRule="auto"/>
        <w:rPr>
          <w:sz w:val="20"/>
          <w:szCs w:val="20"/>
          <w:color w:val="auto"/>
        </w:rPr>
      </w:pPr>
      <w:r>
        <w:rPr>
          <w:rFonts w:ascii="Arial" w:cs="Arial" w:eastAsia="Arial" w:hAnsi="Arial"/>
          <w:sz w:val="17"/>
          <w:szCs w:val="17"/>
          <w:color w:val="auto"/>
        </w:rPr>
        <w:t>BPEA Advisors Private Limited, a private limited company incorporated in India* Beutel, Goodman &amp; Company Ltd., a limited company incorporated in Canada* Bimini Atlantic Holdings Ltd., a Bahamas international business company BlueMountain Capital Management, LLC, a Delaware limited liability company* BlueMountain Capital Partners (London) LLP, a UK limited liability partnership* BlueMountain CLO Management, LLC, a Delaware limited liability company* BlueMountain GP Holdings, LLC, a Delaware limited liability company* BlueMountain UK Holdings LLC, a Delaware limited liability company* BMCM Acquisition, LLC, a Delaware limited liability company</w:t>
      </w:r>
    </w:p>
    <w:p>
      <w:pPr>
        <w:spacing w:after="0" w:line="2" w:lineRule="exact"/>
        <w:rPr>
          <w:sz w:val="20"/>
          <w:szCs w:val="20"/>
          <w:color w:val="auto"/>
        </w:rPr>
      </w:pPr>
    </w:p>
    <w:p>
      <w:pPr>
        <w:ind w:right="4779"/>
        <w:spacing w:after="0" w:line="281" w:lineRule="auto"/>
        <w:rPr>
          <w:sz w:val="20"/>
          <w:szCs w:val="20"/>
          <w:color w:val="auto"/>
        </w:rPr>
      </w:pPr>
      <w:r>
        <w:rPr>
          <w:rFonts w:ascii="Arial" w:cs="Arial" w:eastAsia="Arial" w:hAnsi="Arial"/>
          <w:sz w:val="16"/>
          <w:szCs w:val="16"/>
          <w:color w:val="auto"/>
        </w:rPr>
        <w:t>Bowman Partners GP Co., a Cayman Islands exempted company Capeview Capital LLP, an England and Wales limited liability partnership* Capula Investment Japan Limited, a company incorporated in Japan*</w:t>
      </w:r>
    </w:p>
    <w:p>
      <w:pPr>
        <w:spacing w:after="0" w:line="2" w:lineRule="exact"/>
        <w:rPr>
          <w:sz w:val="20"/>
          <w:szCs w:val="20"/>
          <w:color w:val="auto"/>
        </w:rPr>
      </w:pPr>
    </w:p>
    <w:p>
      <w:pPr>
        <w:ind w:right="3739"/>
        <w:spacing w:after="0" w:line="265" w:lineRule="auto"/>
        <w:rPr>
          <w:sz w:val="20"/>
          <w:szCs w:val="20"/>
          <w:color w:val="auto"/>
        </w:rPr>
      </w:pPr>
      <w:r>
        <w:rPr>
          <w:rFonts w:ascii="Arial" w:cs="Arial" w:eastAsia="Arial" w:hAnsi="Arial"/>
          <w:sz w:val="17"/>
          <w:szCs w:val="17"/>
          <w:color w:val="auto"/>
        </w:rPr>
        <w:t>Capula Investment Management Asia Limited, a company incorporated in Hong Kong* Capula Investment Management LLP, an England and Wales limited liability partnership* Capula Investment Services Limited, an England and Wales private limited company* Capula Investment US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Capula Management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Capula Management US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Catalyst Acquisition II,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Channel Ventures GP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Equity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Clarfeld Financial Advisors,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CML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CPEG-Pantheon GP Limited, a Scotland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CVC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Deans Knight Capital Management Ltd.,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Asset Management, LLC, a Delaware limited liability company*</w:t>
      </w:r>
    </w:p>
    <w:p>
      <w:pPr>
        <w:spacing w:after="0" w:line="9" w:lineRule="exact"/>
        <w:rPr>
          <w:sz w:val="20"/>
          <w:szCs w:val="20"/>
          <w:color w:val="auto"/>
        </w:rPr>
      </w:pPr>
    </w:p>
    <w:p>
      <w:pPr>
        <w:ind w:right="4419"/>
        <w:spacing w:after="0" w:line="323" w:lineRule="auto"/>
        <w:rPr>
          <w:sz w:val="20"/>
          <w:szCs w:val="20"/>
          <w:color w:val="auto"/>
        </w:rPr>
      </w:pPr>
      <w:r>
        <w:rPr>
          <w:rFonts w:ascii="Arial" w:cs="Arial" w:eastAsia="Arial" w:hAnsi="Arial"/>
          <w:sz w:val="16"/>
          <w:szCs w:val="16"/>
          <w:color w:val="auto"/>
        </w:rPr>
        <w:t>EIG Credit Management Company, LLC, a Delaware limited liability company* EIG Funds Management, LLC, a Delaware limited liability company*</w:t>
      </w:r>
    </w:p>
    <w:p>
      <w:pPr>
        <w:sectPr>
          <w:pgSz w:w="11900" w:h="16838" w:orient="portrait"/>
          <w:cols w:equalWidth="0" w:num="1">
            <w:col w:w="10219"/>
          </w:cols>
          <w:pgMar w:left="240" w:top="584" w:right="1440"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EIG Global Energy (Asia) Ltd., a Hong Kong private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EIG Global Energy (Australia) Pty. Ltd., an Australia private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EIG Global Energy (Brasil) Representacoes Ltda., a Brazil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EIG Global Energy (Europe) Ltd., a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Global Energy Korea, Ltd., a Korea limited company*</w:t>
      </w:r>
    </w:p>
    <w:p>
      <w:pPr>
        <w:spacing w:after="0" w:line="9" w:lineRule="exact"/>
        <w:rPr>
          <w:sz w:val="20"/>
          <w:szCs w:val="20"/>
          <w:color w:val="auto"/>
        </w:rPr>
      </w:pPr>
    </w:p>
    <w:p>
      <w:pPr>
        <w:ind w:right="3699"/>
        <w:spacing w:after="0" w:line="265" w:lineRule="auto"/>
        <w:rPr>
          <w:sz w:val="20"/>
          <w:szCs w:val="20"/>
          <w:color w:val="auto"/>
        </w:rPr>
      </w:pPr>
      <w:r>
        <w:rPr>
          <w:rFonts w:ascii="Arial" w:cs="Arial" w:eastAsia="Arial" w:hAnsi="Arial"/>
          <w:sz w:val="17"/>
          <w:szCs w:val="17"/>
          <w:color w:val="auto"/>
        </w:rPr>
        <w:t>EIG Global Energy Partners Capital Markets, LLC, a Delaware limited liability company* EIG Management Company, LLC, a Delaware limited liability company*</w:t>
      </w:r>
    </w:p>
    <w:p>
      <w:pPr>
        <w:ind w:right="4539"/>
        <w:spacing w:after="0" w:line="281" w:lineRule="auto"/>
        <w:rPr>
          <w:sz w:val="20"/>
          <w:szCs w:val="20"/>
          <w:color w:val="auto"/>
        </w:rPr>
      </w:pPr>
      <w:r>
        <w:rPr>
          <w:rFonts w:ascii="Arial" w:cs="Arial" w:eastAsia="Arial" w:hAnsi="Arial"/>
          <w:sz w:val="16"/>
          <w:szCs w:val="16"/>
          <w:color w:val="auto"/>
        </w:rPr>
        <w:t>EIG Principals Incentive Carry Vehicle, LP, a Delaware limited partnership* EIG Principals Incentive Carry Vehicle II,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EIG Principals Incentive Carry Vehicle III, LP, a Cayman Islands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Empire Acquisition (WP),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FIAMI Production Management Services 2001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Frontier Capital Management Company,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GCP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 Asia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Asset Managers, LLP, a Delaware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Genesis Investment Management, LLP, a United Kingdom limited liability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LP, LLC, a Delaware limited liability company</w:t>
      </w:r>
    </w:p>
    <w:p>
      <w:pPr>
        <w:spacing w:after="0" w:line="9" w:lineRule="exact"/>
        <w:rPr>
          <w:sz w:val="20"/>
          <w:szCs w:val="20"/>
          <w:color w:val="auto"/>
        </w:rPr>
      </w:pPr>
    </w:p>
    <w:p>
      <w:pPr>
        <w:ind w:right="4619"/>
        <w:spacing w:after="0" w:line="250" w:lineRule="auto"/>
        <w:rPr>
          <w:sz w:val="20"/>
          <w:szCs w:val="20"/>
          <w:color w:val="auto"/>
        </w:rPr>
      </w:pPr>
      <w:r>
        <w:rPr>
          <w:rFonts w:ascii="Arial" w:cs="Arial" w:eastAsia="Arial" w:hAnsi="Arial"/>
          <w:sz w:val="18"/>
          <w:szCs w:val="18"/>
          <w:color w:val="auto"/>
        </w:rPr>
        <w:t>GW&amp;K Investment Management, LLC, a Delaware limited liability company Harding Loevner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Harding Loevner (UK)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HWL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IIM Acquisition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 Hartwell Limited Partnership,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Asia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Europe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Europe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Klee USA 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 Investors of Korea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Interests Plan 2010,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Interests Plan 2011,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Equity Interests Plan,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2011 GP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GP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Intermediate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LTEIP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Monteverdi GP Limited, a limited company incorporated in Scotland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Investments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myCIO Wealth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Odin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2015-K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Access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Access GP S.à.r.l., a Grand Duchy of Luxembourg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Access Korea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Access US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Birkin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BVK 2014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BVK 2018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BVK GP LLC, a Delaware limited liability company</w:t>
      </w:r>
    </w:p>
    <w:p>
      <w:pPr>
        <w:spacing w:after="0" w:line="9" w:lineRule="exact"/>
        <w:rPr>
          <w:sz w:val="20"/>
          <w:szCs w:val="20"/>
          <w:color w:val="auto"/>
        </w:rPr>
      </w:pPr>
    </w:p>
    <w:p>
      <w:pPr>
        <w:ind w:right="4399"/>
        <w:spacing w:after="0" w:line="277" w:lineRule="auto"/>
        <w:rPr>
          <w:sz w:val="20"/>
          <w:szCs w:val="20"/>
          <w:color w:val="auto"/>
        </w:rPr>
      </w:pPr>
      <w:r>
        <w:rPr>
          <w:rFonts w:ascii="Arial" w:cs="Arial" w:eastAsia="Arial" w:hAnsi="Arial"/>
          <w:sz w:val="17"/>
          <w:szCs w:val="17"/>
          <w:color w:val="auto"/>
        </w:rPr>
        <w:t>Pantheon Capital (Asia) Limited, a limited company incorporated in Hong Kong Pantheon Capital Partners GP, LLC, a Delaware limited liability company Pantheon CK SPV GP, LLC, a Delaware limited liability company</w:t>
      </w:r>
    </w:p>
    <w:p>
      <w:pPr>
        <w:sectPr>
          <w:pgSz w:w="11900" w:h="16838" w:orient="portrait"/>
          <w:cols w:equalWidth="0" w:num="1">
            <w:col w:w="10219"/>
          </w:cols>
          <w:pgMar w:left="240" w:top="584" w:right="1440"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Pantheon Concipio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Pantheon CV (Cayman) GP, Ltd., a Cayman Islands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Donald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Duo BidCo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 Flying Fox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Friar Holdings,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Gateway MSouth SPV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G Infrastructure Holdings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Pantheon Global Co-Investment Opportunities GP Ltd, a Cayman Islands exempted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Pantheon Global Co-Investment WGP GP, Ltd., a Cayman Islands company</w:t>
      </w:r>
    </w:p>
    <w:p>
      <w:pPr>
        <w:spacing w:after="0" w:line="9" w:lineRule="exact"/>
        <w:rPr>
          <w:sz w:val="20"/>
          <w:szCs w:val="20"/>
          <w:color w:val="auto"/>
        </w:rPr>
      </w:pPr>
    </w:p>
    <w:p>
      <w:pPr>
        <w:ind w:right="4659"/>
        <w:spacing w:after="0" w:line="265" w:lineRule="auto"/>
        <w:rPr>
          <w:sz w:val="20"/>
          <w:szCs w:val="20"/>
          <w:color w:val="auto"/>
        </w:rPr>
      </w:pPr>
      <w:r>
        <w:rPr>
          <w:rFonts w:ascii="Arial" w:cs="Arial" w:eastAsia="Arial" w:hAnsi="Arial"/>
          <w:sz w:val="17"/>
          <w:szCs w:val="17"/>
          <w:color w:val="auto"/>
        </w:rPr>
        <w:t>Pantheon GP Limited, a limited company incorporated in England and Wales Pantheon GT GP, LLC, a Delaware limited liability company Pantheon GT Holdings, GP, a Cayman Islands exempted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Pantheon (Guernsey) GP Limited, a Guernsey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 HK Project Universe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HO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HO Holdings, GP, a Cayman Islands exempted company</w:t>
      </w:r>
    </w:p>
    <w:p>
      <w:pPr>
        <w:spacing w:after="0" w:line="9" w:lineRule="exact"/>
        <w:rPr>
          <w:sz w:val="20"/>
          <w:szCs w:val="20"/>
          <w:color w:val="auto"/>
        </w:rPr>
      </w:pPr>
    </w:p>
    <w:p>
      <w:pPr>
        <w:ind w:right="4219"/>
        <w:spacing w:after="0" w:line="265" w:lineRule="auto"/>
        <w:rPr>
          <w:sz w:val="20"/>
          <w:szCs w:val="20"/>
          <w:color w:val="auto"/>
        </w:rPr>
      </w:pPr>
      <w:r>
        <w:rPr>
          <w:rFonts w:ascii="Arial" w:cs="Arial" w:eastAsia="Arial" w:hAnsi="Arial"/>
          <w:sz w:val="17"/>
          <w:szCs w:val="17"/>
          <w:color w:val="auto"/>
        </w:rPr>
        <w:t>Pantheon Holdings Limited, a limited company incorporated in England and Wales Pantheon Industriens GP, LLC, a Delaware limited liability company Pantheon Industriens II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Pantheon Infrastructure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 Ista Co-Investment,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Korea Inc., a Korea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Pantheon KP GT Strategic Private Investments GP, LLC, a 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Pantheon KP KFH Strategic Private Investments GP, LLC, a Delaware limited liability company</w:t>
      </w:r>
    </w:p>
    <w:p>
      <w:pPr>
        <w:spacing w:after="0" w:line="21" w:lineRule="exact"/>
        <w:rPr>
          <w:sz w:val="20"/>
          <w:szCs w:val="20"/>
          <w:color w:val="auto"/>
        </w:rPr>
      </w:pPr>
    </w:p>
    <w:p>
      <w:pPr>
        <w:ind w:right="4979"/>
        <w:spacing w:after="0" w:line="281" w:lineRule="auto"/>
        <w:rPr>
          <w:sz w:val="20"/>
          <w:szCs w:val="20"/>
          <w:color w:val="auto"/>
        </w:rPr>
      </w:pPr>
      <w:r>
        <w:rPr>
          <w:rFonts w:ascii="Arial" w:cs="Arial" w:eastAsia="Arial" w:hAnsi="Arial"/>
          <w:sz w:val="16"/>
          <w:szCs w:val="16"/>
          <w:color w:val="auto"/>
        </w:rPr>
        <w:t>Pantheon KSA GP, LLC, a Delaware limited liability company Pantheon KSA (Guernsey) GP Limited, a Guernsey limited company Pantheon Lille GP Limited, a limited company incorporated in Scotland Pantheon Lincoln Brook GP, LLC, a Delaware limited liability company Pantheon Lux GP S.à.r.l., a Grand Duchy of Luxembourg company Pantheon Maury GP, LLC, a Delaware limited liability company Pantheon (Midway) GP, LLC, a Delaware limited liability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Pantheon Multi-Strategy Program 2014 US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NPS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OPERS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Partners Participation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PGCO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Psagot GP, Ltd., a Cayman Islands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PSI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RAO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Real Assets GT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Real Assets HO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Red Oak,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REX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SCERS SIRF MM,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Securities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Standard GP, LLC, a Delaware limited liability company</w:t>
      </w:r>
    </w:p>
    <w:p>
      <w:pPr>
        <w:spacing w:after="0" w:line="9" w:lineRule="exact"/>
        <w:rPr>
          <w:sz w:val="20"/>
          <w:szCs w:val="20"/>
          <w:color w:val="auto"/>
        </w:rPr>
      </w:pPr>
    </w:p>
    <w:p>
      <w:pPr>
        <w:ind w:right="3299"/>
        <w:spacing w:after="0" w:line="250" w:lineRule="auto"/>
        <w:rPr>
          <w:sz w:val="20"/>
          <w:szCs w:val="20"/>
          <w:color w:val="auto"/>
        </w:rPr>
      </w:pPr>
      <w:r>
        <w:rPr>
          <w:rFonts w:ascii="Arial" w:cs="Arial" w:eastAsia="Arial" w:hAnsi="Arial"/>
          <w:sz w:val="18"/>
          <w:szCs w:val="18"/>
          <w:color w:val="auto"/>
        </w:rPr>
        <w:t>Pantheon UK General Partner 2 Limited, a limited company incorporated in England and Wales Pantheon UK General Partner Limited, a limited company incorporated in England and Wales Pantheon (UK) GP LLP, a limited liability partnership formed in Scotland Pantheon (US) LLC, a Delaware limited liability company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Pantheon VA-Infrastructure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Pantheon/VA NRP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Ventures (Asia)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Ventures (Guernsey) Limited, a Guernsey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Ventures (HK) LLP, an England and Wales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Pantheon Ventures Inc., a California corporation</w:t>
      </w:r>
    </w:p>
    <w:p>
      <w:pPr>
        <w:spacing w:after="0" w:line="9" w:lineRule="exact"/>
        <w:rPr>
          <w:sz w:val="20"/>
          <w:szCs w:val="20"/>
          <w:color w:val="auto"/>
        </w:rPr>
      </w:pPr>
    </w:p>
    <w:p>
      <w:pPr>
        <w:ind w:right="3059"/>
        <w:spacing w:after="0" w:line="290" w:lineRule="auto"/>
        <w:rPr>
          <w:sz w:val="20"/>
          <w:szCs w:val="20"/>
          <w:color w:val="auto"/>
        </w:rPr>
      </w:pPr>
      <w:r>
        <w:rPr>
          <w:rFonts w:ascii="Arial" w:cs="Arial" w:eastAsia="Arial" w:hAnsi="Arial"/>
          <w:sz w:val="17"/>
          <w:szCs w:val="17"/>
          <w:color w:val="auto"/>
        </w:rPr>
        <w:t>Pantheon Ventures (Ireland) Designated Activity Company, an Ireland designated activity company Pantheon Ventures Limited, a limited company incorporated in England and Wales</w:t>
      </w:r>
    </w:p>
    <w:p>
      <w:pPr>
        <w:sectPr>
          <w:pgSz w:w="11900" w:h="16838" w:orient="portrait"/>
          <w:cols w:equalWidth="0" w:num="1">
            <w:col w:w="10219"/>
          </w:cols>
          <w:pgMar w:left="240" w:top="585" w:right="1440" w:bottom="1440" w:gutter="0" w:footer="0" w:header="0"/>
        </w:sectPr>
      </w:pPr>
    </w:p>
    <w:bookmarkStart w:id="154" w:name="page155"/>
    <w:bookmarkEnd w:id="154"/>
    <w:p>
      <w:pPr>
        <w:ind w:right="3939"/>
        <w:spacing w:after="0" w:line="253" w:lineRule="auto"/>
        <w:rPr>
          <w:sz w:val="20"/>
          <w:szCs w:val="20"/>
          <w:color w:val="auto"/>
        </w:rPr>
      </w:pPr>
      <w:r>
        <w:rPr>
          <w:rFonts w:ascii="Arial" w:cs="Arial" w:eastAsia="Arial" w:hAnsi="Arial"/>
          <w:sz w:val="18"/>
          <w:szCs w:val="18"/>
          <w:color w:val="auto"/>
        </w:rPr>
        <w:t>Pantheon Ventures (Scotland) GP Limited, a limited company incorporated in Scotland Pantheon Ventures (UK) LLP, an England and Wales limited liability partnership Pantheon Ventures (US) Holdings LLP, a Delaware limited liability partnership Pantheon Ventures (US) LP, a Delaware limited partnership Pantheon Volt GP, LLC,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Pantheon Zeus GP, Ltd., a Cayman Islands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Papillon GP, LLC, a Delaware limited liability company</w:t>
      </w:r>
    </w:p>
    <w:p>
      <w:pPr>
        <w:spacing w:after="0" w:line="9" w:lineRule="exact"/>
        <w:rPr>
          <w:sz w:val="20"/>
          <w:szCs w:val="20"/>
          <w:color w:val="auto"/>
        </w:rPr>
      </w:pPr>
    </w:p>
    <w:p>
      <w:pPr>
        <w:ind w:right="5019"/>
        <w:spacing w:after="0" w:line="265" w:lineRule="auto"/>
        <w:rPr>
          <w:sz w:val="20"/>
          <w:szCs w:val="20"/>
          <w:color w:val="auto"/>
        </w:rPr>
      </w:pPr>
      <w:r>
        <w:rPr>
          <w:rFonts w:ascii="Arial" w:cs="Arial" w:eastAsia="Arial" w:hAnsi="Arial"/>
          <w:sz w:val="17"/>
          <w:szCs w:val="17"/>
          <w:color w:val="auto"/>
        </w:rPr>
        <w:t>Partner Advisory Services, L.P., a Delaware limited partnership* Partner Asset Management LLC, a Delaware limited liability company* Partner Investment Management, L.P., a Delaware limited partnership* PASIA V GP Limited, a limited company incorporated in Guernsey PASIA VI GP, LLC, a Delaware limited liability company PEAF VI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PEMF (ex-Asia)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IV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PEURO VII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PFM Acquisition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PGCO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PGCO III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PGCO IV GP S.à.r.l., a Grand Duchy of Luxembourg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II Lux GP S.à.r.l., a Grand Duchy of Luxembourg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PGIF III GP, Ltd.,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PGIH - Holte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PGIH - Shades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PGInfra GP (Cayman), Ltd., a Cayman Islands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III GP Limited, a limited company incorporated in 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IV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V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VI Feeder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PGSF VI GP S.à.r.l., a Grand Duchy of Luxembourg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PGSH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PGSH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PREMIUM Private Debt I General Partner S.à.r.l., a Grand Duchy of Luxembourg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PREMIUM Private Equity VI General Partner S.à.r.l., a Grand Duchy of Luxembourg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PREMIUM Private Equity VII General Partner, S,à.r.l., a Grand Duchy of Luxembourg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PUSA VI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PUSA VII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PUSA VIII GP, LLC, a Delaware limited liability company</w:t>
      </w:r>
    </w:p>
    <w:p>
      <w:pPr>
        <w:spacing w:after="0" w:line="9" w:lineRule="exact"/>
        <w:rPr>
          <w:sz w:val="20"/>
          <w:szCs w:val="20"/>
          <w:color w:val="auto"/>
        </w:rPr>
      </w:pPr>
    </w:p>
    <w:p>
      <w:pPr>
        <w:ind w:right="4099"/>
        <w:spacing w:after="0" w:line="250" w:lineRule="auto"/>
        <w:rPr>
          <w:sz w:val="20"/>
          <w:szCs w:val="20"/>
          <w:color w:val="auto"/>
        </w:rPr>
      </w:pPr>
      <w:r>
        <w:rPr>
          <w:rFonts w:ascii="Arial" w:cs="Arial" w:eastAsia="Arial" w:hAnsi="Arial"/>
          <w:sz w:val="18"/>
          <w:szCs w:val="18"/>
          <w:color w:val="auto"/>
        </w:rPr>
        <w:t>PUSA IX Feeder GP Limited, a limited company incorporated in England and Wales PUSA IX GP, LLC, a Delaware limited liability company PUSA SFP IX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PVP II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Mile Syndication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Road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RRAM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SCP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SouthernSun Asset Management, LLC, a Delaware limited liability company</w:t>
      </w:r>
    </w:p>
    <w:p>
      <w:pPr>
        <w:spacing w:after="0" w:line="9" w:lineRule="exact"/>
        <w:rPr>
          <w:sz w:val="20"/>
          <w:szCs w:val="20"/>
          <w:color w:val="auto"/>
        </w:rPr>
      </w:pPr>
    </w:p>
    <w:p>
      <w:pPr>
        <w:ind w:right="3079"/>
        <w:spacing w:after="0" w:line="250" w:lineRule="auto"/>
        <w:rPr>
          <w:sz w:val="20"/>
          <w:szCs w:val="20"/>
          <w:color w:val="auto"/>
        </w:rPr>
      </w:pPr>
      <w:r>
        <w:rPr>
          <w:rFonts w:ascii="Arial" w:cs="Arial" w:eastAsia="Arial" w:hAnsi="Arial"/>
          <w:sz w:val="18"/>
          <w:szCs w:val="18"/>
          <w:color w:val="auto"/>
        </w:rPr>
        <w:t>SouthernSun Asset Management (UK) Ltd., a limited company incorporated in England and Wales Squam Acquisition GP, LLC, a Delaware limited liability company Squam Acquisition LP,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SSAM Acquisition, LLC, a Delaware limited liability company</w:t>
      </w:r>
    </w:p>
    <w:p>
      <w:pPr>
        <w:sectPr>
          <w:pgSz w:w="11900" w:h="16838" w:orient="portrait"/>
          <w:cols w:equalWidth="0" w:num="1">
            <w:col w:w="10219"/>
          </w:cols>
          <w:pgMar w:left="240" w:top="584" w:right="1440"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Systematic Financial Management, L.P., a Delaware limited partnership</w:t>
      </w:r>
    </w:p>
    <w:p>
      <w:pPr>
        <w:spacing w:after="0" w:line="23" w:lineRule="exact"/>
        <w:rPr>
          <w:sz w:val="20"/>
          <w:szCs w:val="20"/>
          <w:color w:val="auto"/>
        </w:rPr>
      </w:pPr>
    </w:p>
    <w:p>
      <w:pPr>
        <w:ind w:right="2999"/>
        <w:spacing w:after="0" w:line="265" w:lineRule="auto"/>
        <w:rPr>
          <w:sz w:val="20"/>
          <w:szCs w:val="20"/>
          <w:color w:val="auto"/>
        </w:rPr>
      </w:pPr>
      <w:r>
        <w:rPr>
          <w:rFonts w:ascii="Arial" w:cs="Arial" w:eastAsia="Arial" w:hAnsi="Arial"/>
          <w:sz w:val="17"/>
          <w:szCs w:val="17"/>
          <w:color w:val="auto"/>
        </w:rPr>
        <w:t>Systematica Holdings Limited, a non-cellular company limited by shares incorporated in Guernsey* Systematica Investments GP Limited, a registered private company incorporated in Jersey* Systematica Investments Guernsey LP, a Guernsey limited partnership*</w:t>
      </w:r>
    </w:p>
    <w:p>
      <w:pPr>
        <w:spacing w:after="0" w:line="1" w:lineRule="exact"/>
        <w:rPr>
          <w:sz w:val="20"/>
          <w:szCs w:val="20"/>
          <w:color w:val="auto"/>
        </w:rPr>
      </w:pPr>
    </w:p>
    <w:p>
      <w:pPr>
        <w:ind w:right="3419"/>
        <w:spacing w:after="0" w:line="250" w:lineRule="auto"/>
        <w:rPr>
          <w:sz w:val="20"/>
          <w:szCs w:val="20"/>
          <w:color w:val="auto"/>
        </w:rPr>
      </w:pPr>
      <w:r>
        <w:rPr>
          <w:rFonts w:ascii="Arial" w:cs="Arial" w:eastAsia="Arial" w:hAnsi="Arial"/>
          <w:sz w:val="18"/>
          <w:szCs w:val="18"/>
          <w:color w:val="auto"/>
        </w:rPr>
        <w:t>Systematica Investments Jersey Limited, a registered private company incorporated in Jersey* Systematica Investments Limited, a registered private company incorporated in Jersey* Systematica Investments LP, a Guernsey limited partnership*</w:t>
      </w:r>
    </w:p>
    <w:p>
      <w:pPr>
        <w:spacing w:after="0" w:line="1" w:lineRule="exact"/>
        <w:rPr>
          <w:sz w:val="20"/>
          <w:szCs w:val="20"/>
          <w:color w:val="auto"/>
        </w:rPr>
      </w:pPr>
    </w:p>
    <w:p>
      <w:pPr>
        <w:ind w:right="2519"/>
        <w:spacing w:after="0" w:line="265" w:lineRule="auto"/>
        <w:rPr>
          <w:sz w:val="20"/>
          <w:szCs w:val="20"/>
          <w:color w:val="auto"/>
        </w:rPr>
      </w:pPr>
      <w:r>
        <w:rPr>
          <w:rFonts w:ascii="Arial" w:cs="Arial" w:eastAsia="Arial" w:hAnsi="Arial"/>
          <w:sz w:val="17"/>
          <w:szCs w:val="17"/>
          <w:color w:val="auto"/>
        </w:rPr>
        <w:t>Systematica Investments Services Limited, a private limited company incorporated in England and Wales* Systematica Investments Singapore Pte. Limited, a company incorporated in Singapore*</w:t>
      </w:r>
    </w:p>
    <w:p>
      <w:pPr>
        <w:ind w:right="4899"/>
        <w:spacing w:after="0" w:line="281" w:lineRule="auto"/>
        <w:rPr>
          <w:sz w:val="20"/>
          <w:szCs w:val="20"/>
          <w:color w:val="auto"/>
        </w:rPr>
      </w:pPr>
      <w:r>
        <w:rPr>
          <w:rFonts w:ascii="Arial" w:cs="Arial" w:eastAsia="Arial" w:hAnsi="Arial"/>
          <w:sz w:val="16"/>
          <w:szCs w:val="16"/>
          <w:color w:val="auto"/>
        </w:rPr>
        <w:t>Systematica Investments US LLC, a Delaware limited liability company* The Renaissance Group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Third Avenue Holdings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Manager Member,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GP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Trident NYC Acquisition, LLC, a Delaware limited liability company</w:t>
      </w:r>
    </w:p>
    <w:p>
      <w:pPr>
        <w:spacing w:after="0" w:line="9" w:lineRule="exact"/>
        <w:rPr>
          <w:sz w:val="20"/>
          <w:szCs w:val="20"/>
          <w:color w:val="auto"/>
        </w:rPr>
      </w:pPr>
    </w:p>
    <w:p>
      <w:pPr>
        <w:ind w:right="2279"/>
        <w:spacing w:after="0" w:line="250" w:lineRule="auto"/>
        <w:rPr>
          <w:sz w:val="20"/>
          <w:szCs w:val="20"/>
          <w:color w:val="auto"/>
        </w:rPr>
      </w:pPr>
      <w:r>
        <w:rPr>
          <w:rFonts w:ascii="Arial" w:cs="Arial" w:eastAsia="Arial" w:hAnsi="Arial"/>
          <w:sz w:val="18"/>
          <w:szCs w:val="18"/>
          <w:color w:val="auto"/>
        </w:rPr>
        <w:t>Trilogy Global Advisors International LLP, a limited liability partnership incorporated in the United Kingdom Trilogy Global Advisors UK Holdings Limited, a limited company incorporated in the United Kingdom Trilogy Global Advisors, LP, a Delaware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Partners 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Partners III,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 SmallCap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Capital Management,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Capital Management, LLC, a Delaware limited liability company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SmallCap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SmallCap Management,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VAM Bidco Limited, a private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Veritable,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Veritas Asset Management (Asia) Limited, a Hong Kong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Veritas Asset Management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Veritas Corporate Management Limited, a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Watson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Wealth Partners Capital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Windermere Cayman LP, a Cayman Islands exempted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Capital Asia Limited, a Hong Kong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Capital Japan Co., Ltd, a company incorporated in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Capital Management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Capital US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Fund Management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Group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Winton Outbound Investment Fund Management (Shanghai) Co., Ltd. a Peoples Republic of China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WP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Yacktman Asset Management LP, a Delaware limited partnership</w:t>
      </w:r>
    </w:p>
    <w:p>
      <w:pPr>
        <w:sectPr>
          <w:pgSz w:w="11900" w:h="16838" w:orient="portrait"/>
          <w:cols w:equalWidth="0" w:num="1">
            <w:col w:w="10219"/>
          </w:cols>
          <w:pgMar w:left="240" w:top="584" w:right="1440"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719" w:right="1440" w:bottom="1440" w:gutter="0" w:footer="0" w:header="0"/>
        </w:sectPr>
      </w:pPr>
    </w:p>
    <w:bookmarkStart w:id="157" w:name="page158"/>
    <w:bookmarkEnd w:id="157"/>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340"/>
        <w:spacing w:after="0" w:line="219"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3 (No. 333-210819) and S</w:t>
      </w:r>
      <w:r>
        <w:rPr>
          <w:rFonts w:ascii="MS PGothic" w:cs="MS PGothic" w:eastAsia="MS PGothic" w:hAnsi="MS PGothic"/>
          <w:sz w:val="17"/>
          <w:szCs w:val="17"/>
          <w:color w:val="auto"/>
        </w:rPr>
        <w:t>‑</w:t>
      </w:r>
      <w:r>
        <w:rPr>
          <w:rFonts w:ascii="Arial" w:cs="Arial" w:eastAsia="Arial" w:hAnsi="Arial"/>
          <w:sz w:val="17"/>
          <w:szCs w:val="17"/>
          <w:color w:val="auto"/>
        </w:rPr>
        <w:t>8 (No. 333-190412, No. 333-175912, No. 333-135416, No. 333-129748, No. 333-100628, No. 333-84485, and No. 333-72967) of Affiliated Managers Group, Inc. of our report dated February 22, 2019 relating to the financial statements and the effectiveness of internal control over financial reporting, which appears in the 2018 Annual Report to Shareholders, which is incorporated by reference in this Annual Report on Form 10-K. We also consent to the incorporation by reference of our report dated February 22, 2019 relating to the financial statement schedules,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59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720" w:right="1440" w:bottom="1440" w:gutter="0" w:footer="0" w:header="0"/>
        </w:sectPr>
      </w:pPr>
    </w:p>
    <w:bookmarkStart w:id="159" w:name="page160"/>
    <w:bookmarkEnd w:id="159"/>
    <w:p>
      <w:pPr>
        <w:spacing w:after="0"/>
        <w:rPr>
          <w:rFonts w:ascii="Arial" w:cs="Arial" w:eastAsia="Arial" w:hAnsi="Arial"/>
          <w:sz w:val="22"/>
          <w:szCs w:val="22"/>
          <w:color w:val="0000EE"/>
        </w:rPr>
      </w:pPr>
      <w:hyperlink w:anchor="page16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Nathaniel Dalton, certify that:</w:t>
      </w:r>
    </w:p>
    <w:p>
      <w:pPr>
        <w:spacing w:after="0" w:line="279"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17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NATHANIEL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Nathaniel Dalton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91"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720" w:right="1440" w:bottom="1440" w:gutter="0" w:footer="0" w:header="0"/>
        </w:sectPr>
      </w:pPr>
    </w:p>
    <w:bookmarkStart w:id="161" w:name="page162"/>
    <w:bookmarkEnd w:id="161"/>
    <w:p>
      <w:pPr>
        <w:spacing w:after="0"/>
        <w:rPr>
          <w:rFonts w:ascii="Arial" w:cs="Arial" w:eastAsia="Arial" w:hAnsi="Arial"/>
          <w:sz w:val="22"/>
          <w:szCs w:val="22"/>
          <w:color w:val="0000EE"/>
        </w:rPr>
      </w:pPr>
      <w:hyperlink w:anchor="page16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279"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4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2019</w:t>
      </w:r>
    </w:p>
    <w:p>
      <w:pPr>
        <w:spacing w:after="0" w:line="17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7"/>
          <w:szCs w:val="17"/>
          <w:i w:val="1"/>
          <w:iCs w:val="1"/>
          <w:color w:val="auto"/>
        </w:rPr>
        <w:t>President, Chief Financial Officer and Treasurer</w:t>
      </w:r>
    </w:p>
    <w:p>
      <w:pPr>
        <w:sectPr>
          <w:pgSz w:w="11900" w:h="16838" w:orient="portrait"/>
          <w:cols w:equalWidth="0" w:num="1">
            <w:col w:w="11420"/>
          </w:cols>
          <w:pgMar w:left="240" w:top="59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720" w:right="1440" w:bottom="1440" w:gutter="0" w:footer="0" w:header="0"/>
        </w:sectPr>
      </w:pPr>
    </w:p>
    <w:bookmarkStart w:id="163" w:name="page164"/>
    <w:bookmarkEnd w:id="163"/>
    <w:p>
      <w:pPr>
        <w:spacing w:after="0"/>
        <w:rPr>
          <w:rFonts w:ascii="Arial" w:cs="Arial" w:eastAsia="Arial" w:hAnsi="Arial"/>
          <w:sz w:val="22"/>
          <w:szCs w:val="22"/>
          <w:color w:val="0000EE"/>
        </w:rPr>
      </w:pPr>
      <w:hyperlink w:anchor="page1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2018 as filed with the Securities and Exchange Commission on the date hereof (the "Report"), the undersigned, Nathaniel Dalton, Chief Executive Officer of the Company, hereby certifies, pursuant to 18 U.S.C. Section 1350, that:</w:t>
      </w:r>
    </w:p>
    <w:p>
      <w:pPr>
        <w:spacing w:after="0" w:line="100" w:lineRule="exact"/>
        <w:rPr>
          <w:sz w:val="20"/>
          <w:szCs w:val="20"/>
          <w:color w:val="auto"/>
        </w:rPr>
      </w:pPr>
    </w:p>
    <w:p>
      <w:pPr>
        <w:ind w:left="660" w:hanging="328"/>
        <w:spacing w:after="0"/>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right="380" w:firstLine="332"/>
        <w:spacing w:after="0" w:line="422" w:lineRule="auto"/>
        <w:tabs>
          <w:tab w:leader="none" w:pos="64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22, 2019</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NATHANIEL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Nathaniel Dalton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91"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719" w:right="1440" w:bottom="1440" w:gutter="0" w:footer="0" w:header="0"/>
        </w:sectPr>
      </w:pPr>
    </w:p>
    <w:bookmarkStart w:id="165" w:name="page166"/>
    <w:bookmarkEnd w:id="165"/>
    <w:p>
      <w:pPr>
        <w:spacing w:after="0"/>
        <w:rPr>
          <w:rFonts w:ascii="Arial" w:cs="Arial" w:eastAsia="Arial" w:hAnsi="Arial"/>
          <w:sz w:val="22"/>
          <w:szCs w:val="22"/>
          <w:color w:val="0000EE"/>
        </w:rPr>
      </w:pPr>
      <w:hyperlink w:anchor="page1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2018 as filed with the Securities and Exchange Commission on the date hereof (the "Report"), the undersigned, Jay C. Horgen, Chief Financial Officer and Treasurer of the Company, hereby certifies, pursuant to 18 U.S.C. Section 1350, that:</w:t>
      </w:r>
    </w:p>
    <w:p>
      <w:pPr>
        <w:spacing w:after="0" w:line="100"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right="380" w:firstLine="332"/>
        <w:spacing w:after="0" w:line="422" w:lineRule="auto"/>
        <w:tabs>
          <w:tab w:leader="none" w:pos="6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22, 2019</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Jay C. Horgen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Chief Financial Officer and Treasurer</w:t>
      </w:r>
    </w:p>
    <w:p>
      <w:pPr>
        <w:sectPr>
          <w:pgSz w:w="11900" w:h="16838" w:orient="portrait"/>
          <w:cols w:equalWidth="0" w:num="1">
            <w:col w:w="11420"/>
          </w:cols>
          <w:pgMar w:left="240" w:top="591"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979"/>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
      <w:numFmt w:val="bullet"/>
      <w:start w:val="1"/>
    </w:lvl>
  </w:abstractNum>
  <w:abstractNum w:abstractNumId="1">
    <w:nsid w:val="5F3534A4"/>
    <w:multiLevelType w:val="hybridMultilevel"/>
    <w:lvl w:ilvl="0">
      <w:lvlJc w:val="left"/>
      <w:lvlText w:val="o"/>
      <w:numFmt w:val="bullet"/>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
      <w:numFmt w:val="bullet"/>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1)"/>
      <w:numFmt w:val="decimal"/>
      <w:start w:val="1"/>
    </w:lvl>
  </w:abstractNum>
  <w:abstractNum w:abstractNumId="8">
    <w:nsid w:val="71C91298"/>
    <w:multiLevelType w:val="hybridMultilevel"/>
    <w:lvl w:ilvl="0">
      <w:lvlJc w:val="left"/>
      <w:lvlText w:val="(%1)"/>
      <w:numFmt w:val="decimal"/>
      <w:start w:val="1"/>
    </w:lvl>
  </w:abstractNum>
  <w:abstractNum w:abstractNumId="9">
    <w:nsid w:val="9DAF632"/>
    <w:multiLevelType w:val="hybridMultilevel"/>
    <w:lvl w:ilvl="0">
      <w:lvlJc w:val="left"/>
      <w:lvlText w:val="(%1)"/>
      <w:numFmt w:val="decimal"/>
      <w:start w:val="1"/>
    </w:lvl>
  </w:abstractNum>
  <w:abstractNum w:abstractNumId="10">
    <w:nsid w:val="53299938"/>
    <w:multiLevelType w:val="hybridMultilevel"/>
    <w:lvl w:ilvl="0">
      <w:lvlJc w:val="left"/>
      <w:lvlText w:val="(%1)"/>
      <w:numFmt w:val="decimal"/>
      <w:start w:val="1"/>
    </w:lvl>
  </w:abstractNum>
  <w:abstractNum w:abstractNumId="11">
    <w:nsid w:val="1FBFE8E0"/>
    <w:multiLevelType w:val="hybridMultilevel"/>
    <w:lvl w:ilvl="0">
      <w:lvlJc w:val="left"/>
      <w:lvlText w:val="(%1)"/>
      <w:numFmt w:val="decimal"/>
      <w:start w:val="1"/>
    </w:lvl>
  </w:abstractNum>
  <w:abstractNum w:abstractNumId="12">
    <w:nsid w:val="5092CA79"/>
    <w:multiLevelType w:val="hybridMultilevel"/>
    <w:lvl w:ilvl="0">
      <w:lvlJc w:val="left"/>
      <w:lvlText w:val="(%1)"/>
      <w:numFmt w:val="decimal"/>
      <w:start w:val="1"/>
    </w:lvl>
  </w:abstractNum>
  <w:abstractNum w:abstractNumId="13">
    <w:nsid w:val="1D545C4D"/>
    <w:multiLevelType w:val="hybridMultilevel"/>
    <w:lvl w:ilvl="0">
      <w:lvlJc w:val="left"/>
      <w:lvlText w:val="(%1)"/>
      <w:numFmt w:val="decimal"/>
      <w:start w:val="1"/>
    </w:lvl>
  </w:abstractNum>
  <w:abstractNum w:abstractNumId="14">
    <w:nsid w:val="59ADEA3D"/>
    <w:multiLevelType w:val="hybridMultilevel"/>
    <w:lvl w:ilvl="0">
      <w:lvlJc w:val="left"/>
      <w:lvlText w:val="(%1)"/>
      <w:numFmt w:val="decimal"/>
      <w:start w:val="1"/>
    </w:lvl>
  </w:abstractNum>
  <w:abstractNum w:abstractNumId="15">
    <w:nsid w:val="288F1A34"/>
    <w:multiLevelType w:val="hybridMultilevel"/>
    <w:lvl w:ilvl="0">
      <w:lvlJc w:val="left"/>
      <w:lvlText w:val="(%1)"/>
      <w:numFmt w:val="decimal"/>
      <w:start w:val="1"/>
    </w:lvl>
  </w:abstractNum>
  <w:abstractNum w:abstractNumId="16">
    <w:nsid w:val="2A155DBC"/>
    <w:multiLevelType w:val="hybridMultilevel"/>
    <w:lvl w:ilvl="0">
      <w:lvlJc w:val="left"/>
      <w:lvlText w:val="(%1)"/>
      <w:numFmt w:val="decimal"/>
      <w:start w:val="1"/>
    </w:lvl>
  </w:abstractNum>
  <w:abstractNum w:abstractNumId="17">
    <w:nsid w:val="1D9F6E5F"/>
    <w:multiLevelType w:val="hybridMultilevel"/>
    <w:lvl w:ilvl="0">
      <w:lvlJc w:val="left"/>
      <w:lvlText w:val="(%1)"/>
      <w:numFmt w:val="decimal"/>
      <w:start w:val="3"/>
    </w:lvl>
  </w:abstractNum>
  <w:abstractNum w:abstractNumId="18">
    <w:nsid w:val="97E1B4E"/>
    <w:multiLevelType w:val="hybridMultilevel"/>
    <w:lvl w:ilvl="0">
      <w:lvlJc w:val="left"/>
      <w:lvlText w:val="(%1)"/>
      <w:numFmt w:val="decimal"/>
      <w:start w:val="1"/>
    </w:lvl>
  </w:abstractNum>
  <w:abstractNum w:abstractNumId="19">
    <w:nsid w:val="51088277"/>
    <w:multiLevelType w:val="hybridMultilevel"/>
    <w:lvl w:ilvl="0">
      <w:lvlJc w:val="left"/>
      <w:lvlText w:val="(%1)"/>
      <w:numFmt w:val="decimal"/>
      <w:start w:val="1"/>
    </w:lvl>
  </w:abstractNum>
  <w:abstractNum w:abstractNumId="20">
    <w:nsid w:val="1CA0C5FA"/>
    <w:multiLevelType w:val="hybridMultilevel"/>
    <w:lvl w:ilvl="0">
      <w:lvlJc w:val="left"/>
      <w:lvlText w:val="(%1)"/>
      <w:numFmt w:val="decimal"/>
      <w:start w:val="1"/>
    </w:lvl>
  </w:abstractNum>
  <w:abstractNum w:abstractNumId="21">
    <w:nsid w:val="53584BCB"/>
    <w:multiLevelType w:val="hybridMultilevel"/>
    <w:lvl w:ilvl="0">
      <w:lvlJc w:val="left"/>
      <w:lvlText w:val="%1."/>
      <w:numFmt w:val="decimal"/>
      <w:start w:val="1"/>
    </w:lvl>
  </w:abstractNum>
  <w:abstractNum w:abstractNumId="22">
    <w:nsid w:val="415E286C"/>
    <w:multiLevelType w:val="hybridMultilevel"/>
    <w:lvl w:ilvl="0">
      <w:lvlJc w:val="left"/>
      <w:lvlText w:val="(%1)"/>
      <w:numFmt w:val="lowerLetter"/>
      <w:start w:val="20"/>
    </w:lvl>
    <w:lvl w:ilvl="1">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1."/>
      <w:numFmt w:val="decimal"/>
      <w:start w:val="2"/>
    </w:lvl>
  </w:abstractNum>
  <w:abstractNum w:abstractNumId="25">
    <w:nsid w:val="45E6D486"/>
    <w:multiLevelType w:val="hybridMultilevel"/>
    <w:lvl w:ilvl="0">
      <w:lvlJc w:val="left"/>
      <w:lvlText w:val="%1."/>
      <w:numFmt w:val="decimal"/>
      <w:start w:val="3"/>
    </w:lvl>
  </w:abstractNum>
  <w:abstractNum w:abstractNumId="26">
    <w:nsid w:val="5C10FE21"/>
    <w:multiLevelType w:val="hybridMultilevel"/>
    <w:lvl w:ilvl="0">
      <w:lvlJc w:val="left"/>
      <w:lvlText w:val="%1."/>
      <w:numFmt w:val="decimal"/>
      <w:start w:val="4"/>
    </w:lvl>
  </w:abstractNum>
  <w:abstractNum w:abstractNumId="27">
    <w:nsid w:val="E7FFA2B"/>
    <w:multiLevelType w:val="hybridMultilevel"/>
    <w:lvl w:ilvl="0">
      <w:lvlJc w:val="left"/>
      <w:lvlText w:val="%1."/>
      <w:numFmt w:val="decimal"/>
      <w:start w:val="5"/>
    </w:lvl>
  </w:abstractNum>
  <w:abstractNum w:abstractNumId="28">
    <w:nsid w:val="3C5991AA"/>
    <w:multiLevelType w:val="hybridMultilevel"/>
    <w:lvl w:ilvl="0">
      <w:lvlJc w:val="left"/>
      <w:lvlText w:val="%1."/>
      <w:numFmt w:val="decimal"/>
      <w:start w:val="6"/>
    </w:lvl>
  </w:abstractNum>
  <w:abstractNum w:abstractNumId="29">
    <w:nsid w:val="4BD8591A"/>
    <w:multiLevelType w:val="hybridMultilevel"/>
    <w:lvl w:ilvl="0">
      <w:lvlJc w:val="left"/>
      <w:lvlText w:val="(%1)"/>
      <w:numFmt w:val="decimal"/>
      <w:start w:val="1"/>
    </w:lvl>
  </w:abstractNum>
  <w:abstractNum w:abstractNumId="30">
    <w:nsid w:val="78DF6A55"/>
    <w:multiLevelType w:val="hybridMultilevel"/>
    <w:lvl w:ilvl="0">
      <w:lvlJc w:val="left"/>
      <w:lvlText w:val="%1."/>
      <w:numFmt w:val="decimal"/>
      <w:start w:val="7"/>
    </w:lvl>
  </w:abstractNum>
  <w:abstractNum w:abstractNumId="31">
    <w:nsid w:val="39B7AAA2"/>
    <w:multiLevelType w:val="hybridMultilevel"/>
    <w:lvl w:ilvl="0">
      <w:lvlJc w:val="left"/>
      <w:lvlText w:val="(%1)"/>
      <w:numFmt w:val="decimal"/>
      <w:start w:val="1"/>
    </w:lvl>
  </w:abstractNum>
  <w:abstractNum w:abstractNumId="32">
    <w:nsid w:val="2B0D8DBE"/>
    <w:multiLevelType w:val="hybridMultilevel"/>
    <w:lvl w:ilvl="0">
      <w:lvlJc w:val="left"/>
      <w:lvlText w:val="%1."/>
      <w:numFmt w:val="decimal"/>
      <w:start w:val="8"/>
    </w:lvl>
  </w:abstractNum>
  <w:abstractNum w:abstractNumId="33">
    <w:nsid w:val="6C80EC70"/>
    <w:multiLevelType w:val="hybridMultilevel"/>
    <w:lvl w:ilvl="0">
      <w:lvlJc w:val="left"/>
      <w:lvlText w:val="%1."/>
      <w:numFmt w:val="decimal"/>
      <w:start w:val="9"/>
    </w:lvl>
  </w:abstractNum>
  <w:abstractNum w:abstractNumId="34">
    <w:nsid w:val="379E21B5"/>
    <w:multiLevelType w:val="hybridMultilevel"/>
    <w:lvl w:ilvl="0">
      <w:lvlJc w:val="left"/>
      <w:lvlText w:val="(%1)"/>
      <w:numFmt w:val="decimal"/>
      <w:start w:val="1"/>
    </w:lvl>
  </w:abstractNum>
  <w:abstractNum w:abstractNumId="35">
    <w:nsid w:val="69E373"/>
    <w:multiLevelType w:val="hybridMultilevel"/>
    <w:lvl w:ilvl="0">
      <w:lvlJc w:val="left"/>
      <w:lvlText w:val="%1."/>
      <w:numFmt w:val="decimal"/>
      <w:start w:val="11"/>
    </w:lvl>
  </w:abstractNum>
  <w:abstractNum w:abstractNumId="36">
    <w:nsid w:val="2C27173B"/>
    <w:multiLevelType w:val="hybridMultilevel"/>
    <w:lvl w:ilvl="0">
      <w:lvlJc w:val="left"/>
      <w:lvlText w:val="(%1)"/>
      <w:numFmt w:val="decimal"/>
      <w:start w:val="1"/>
    </w:lvl>
  </w:abstractNum>
  <w:abstractNum w:abstractNumId="37">
    <w:nsid w:val="4C9B0904"/>
    <w:multiLevelType w:val="hybridMultilevel"/>
    <w:lvl w:ilvl="0">
      <w:lvlJc w:val="left"/>
      <w:lvlText w:val="(%1)"/>
      <w:numFmt w:val="decimal"/>
      <w:start w:val="1"/>
    </w:lvl>
  </w:abstractNum>
  <w:abstractNum w:abstractNumId="38">
    <w:nsid w:val="6AA7B75C"/>
    <w:multiLevelType w:val="hybridMultilevel"/>
    <w:lvl w:ilvl="0">
      <w:lvlJc w:val="left"/>
      <w:lvlText w:val="(%1)"/>
      <w:numFmt w:val="decimal"/>
      <w:start w:val="1"/>
    </w:lvl>
  </w:abstractNum>
  <w:abstractNum w:abstractNumId="39">
    <w:nsid w:val="1DF029D3"/>
    <w:multiLevelType w:val="hybridMultilevel"/>
    <w:lvl w:ilvl="0">
      <w:lvlJc w:val="left"/>
      <w:lvlText w:val="%1."/>
      <w:numFmt w:val="decimal"/>
      <w:start w:val="12"/>
    </w:lvl>
  </w:abstractNum>
  <w:abstractNum w:abstractNumId="40">
    <w:nsid w:val="5675FF36"/>
    <w:multiLevelType w:val="hybridMultilevel"/>
    <w:lvl w:ilvl="0">
      <w:lvlJc w:val="left"/>
      <w:lvlText w:val="%1."/>
      <w:numFmt w:val="decimal"/>
      <w:start w:val="13"/>
    </w:lvl>
  </w:abstractNum>
  <w:abstractNum w:abstractNumId="41">
    <w:nsid w:val="3DD15094"/>
    <w:multiLevelType w:val="hybridMultilevel"/>
    <w:lvl w:ilvl="0">
      <w:lvlJc w:val="left"/>
      <w:lvlText w:val="(%1)"/>
      <w:numFmt w:val="decimal"/>
      <w:start w:val="1"/>
    </w:lvl>
  </w:abstractNum>
  <w:abstractNum w:abstractNumId="42">
    <w:nsid w:val="3DB012B3"/>
    <w:multiLevelType w:val="hybridMultilevel"/>
    <w:lvl w:ilvl="0">
      <w:lvlJc w:val="left"/>
      <w:lvlText w:val="(%1)"/>
      <w:numFmt w:val="decimal"/>
      <w:start w:val="1"/>
    </w:lvl>
  </w:abstractNum>
  <w:abstractNum w:abstractNumId="43">
    <w:nsid w:val="2708C9AF"/>
    <w:multiLevelType w:val="hybridMultilevel"/>
    <w:lvl w:ilvl="0">
      <w:lvlJc w:val="left"/>
      <w:lvlText w:val="%1."/>
      <w:numFmt w:val="decimal"/>
      <w:start w:val="14"/>
    </w:lvl>
  </w:abstractNum>
  <w:abstractNum w:abstractNumId="44">
    <w:nsid w:val="5B25ACE2"/>
    <w:multiLevelType w:val="hybridMultilevel"/>
    <w:lvl w:ilvl="0">
      <w:lvlJc w:val="left"/>
      <w:lvlText w:val="(%1)"/>
      <w:numFmt w:val="decimal"/>
      <w:start w:val="1"/>
    </w:lvl>
  </w:abstractNum>
  <w:abstractNum w:abstractNumId="45">
    <w:nsid w:val="175DFCF0"/>
    <w:multiLevelType w:val="hybridMultilevel"/>
    <w:lvl w:ilvl="0">
      <w:lvlJc w:val="left"/>
      <w:lvlText w:val="(%1)"/>
      <w:numFmt w:val="decimal"/>
      <w:start w:val="1"/>
    </w:lvl>
  </w:abstractNum>
  <w:abstractNum w:abstractNumId="46">
    <w:nsid w:val="4F97E3E4"/>
    <w:multiLevelType w:val="hybridMultilevel"/>
    <w:lvl w:ilvl="0">
      <w:lvlJc w:val="left"/>
      <w:lvlText w:val="(%1)"/>
      <w:numFmt w:val="decimal"/>
      <w:start w:val="1"/>
    </w:lvl>
  </w:abstractNum>
  <w:abstractNum w:abstractNumId="47">
    <w:nsid w:val="53B0A9E"/>
    <w:multiLevelType w:val="hybridMultilevel"/>
    <w:lvl w:ilvl="0">
      <w:lvlJc w:val="left"/>
      <w:lvlText w:val="%1."/>
      <w:numFmt w:val="decimal"/>
      <w:start w:val="24"/>
    </w:lvl>
  </w:abstractNum>
  <w:abstractNum w:abstractNumId="48">
    <w:nsid w:val="34FD6B4F"/>
    <w:multiLevelType w:val="hybridMultilevel"/>
    <w:lvl w:ilvl="0">
      <w:lvlJc w:val="left"/>
      <w:lvlText w:val="(%1)"/>
      <w:numFmt w:val="decimal"/>
      <w:start w:val="1"/>
    </w:lvl>
  </w:abstractNum>
  <w:abstractNum w:abstractNumId="49">
    <w:nsid w:val="5915FF32"/>
    <w:multiLevelType w:val="hybridMultilevel"/>
    <w:lvl w:ilvl="0">
      <w:lvlJc w:val="left"/>
      <w:lvlText w:val="%1."/>
      <w:numFmt w:val="decimal"/>
      <w:start w:val="25"/>
    </w:lvl>
  </w:abstractNum>
  <w:abstractNum w:abstractNumId="50">
    <w:nsid w:val="56438D15"/>
    <w:multiLevelType w:val="hybridMultilevel"/>
    <w:lvl w:ilvl="0">
      <w:lvlJc w:val="left"/>
      <w:lvlText w:val="(%1)"/>
      <w:numFmt w:val="decimal"/>
      <w:start w:val="1"/>
    </w:lvl>
  </w:abstractNum>
  <w:abstractNum w:abstractNumId="51">
    <w:nsid w:val="519E3149"/>
    <w:multiLevelType w:val="hybridMultilevel"/>
    <w:lvl w:ilvl="0">
      <w:lvlJc w:val="left"/>
      <w:lvlText w:val="(%1)"/>
      <w:numFmt w:val="decimal"/>
      <w:start w:val="1"/>
    </w:lvl>
  </w:abstractNum>
  <w:abstractNum w:abstractNumId="52">
    <w:nsid w:val="2C6E4AFD"/>
    <w:multiLevelType w:val="hybridMultilevel"/>
    <w:lvl w:ilvl="0">
      <w:lvlJc w:val="left"/>
      <w:lvlText w:val="(%1)"/>
      <w:numFmt w:val="lowerRoman"/>
      <w:start w:val="1"/>
    </w:lvl>
  </w:abstractNum>
  <w:abstractNum w:abstractNumId="53">
    <w:nsid w:val="17A1B582"/>
    <w:multiLevelType w:val="hybridMultilevel"/>
    <w:lvl w:ilvl="0">
      <w:lvlJc w:val="left"/>
      <w:lvlText w:val="†"/>
      <w:numFmt w:val="bullet"/>
      <w:start w:val="1"/>
    </w:lvl>
    <w:lvl w:ilvl="1">
      <w:lvlJc w:val="left"/>
      <w:lvlText w:val="%2"/>
      <w:numFmt w:val="decimal"/>
      <w:start w:val="101"/>
    </w:lvl>
  </w:abstractNum>
  <w:abstractNum w:abstractNumId="54">
    <w:nsid w:val="4DF72E4E"/>
    <w:multiLevelType w:val="hybridMultilevel"/>
    <w:lvl w:ilvl="0">
      <w:lvlJc w:val="left"/>
      <w:lvlText w:val="%1."/>
      <w:numFmt w:val="decimal"/>
      <w:start w:val="1"/>
    </w:lvl>
  </w:abstractNum>
  <w:abstractNum w:abstractNumId="55">
    <w:nsid w:val="5046B5A9"/>
    <w:multiLevelType w:val="hybridMultilevel"/>
    <w:lvl w:ilvl="0">
      <w:lvlJc w:val="left"/>
      <w:lvlText w:val="(%1)"/>
      <w:numFmt w:val="lowerLetter"/>
      <w:start w:val="1"/>
    </w:lvl>
  </w:abstractNum>
  <w:abstractNum w:abstractNumId="56">
    <w:nsid w:val="5D888A08"/>
    <w:multiLevelType w:val="hybridMultilevel"/>
    <w:lvl w:ilvl="0">
      <w:lvlJc w:val="left"/>
      <w:lvlText w:val="%1."/>
      <w:numFmt w:val="decimal"/>
      <w:start w:val="2"/>
    </w:lvl>
  </w:abstractNum>
  <w:abstractNum w:abstractNumId="57">
    <w:nsid w:val="2A082C70"/>
    <w:multiLevelType w:val="hybridMultilevel"/>
    <w:lvl w:ilvl="0">
      <w:lvlJc w:val="left"/>
      <w:lvlText w:val="(%1)"/>
      <w:numFmt w:val="lowerLetter"/>
      <w:start w:val="1"/>
    </w:lvl>
    <w:lvl w:ilvl="1">
      <w:lvlJc w:val="left"/>
      <w:lvlText w:val="(%2)"/>
      <w:numFmt w:val="lowerRoman"/>
      <w:start w:val="1"/>
    </w:lvl>
  </w:abstractNum>
  <w:abstractNum w:abstractNumId="58">
    <w:nsid w:val="5EC6AFD4"/>
    <w:multiLevelType w:val="hybridMultilevel"/>
    <w:lvl w:ilvl="0">
      <w:lvlJc w:val="left"/>
      <w:lvlText w:val="(%1)"/>
      <w:numFmt w:val="lowerLetter"/>
      <w:start w:val="3"/>
    </w:lvl>
  </w:abstractNum>
  <w:abstractNum w:abstractNumId="59">
    <w:nsid w:val="19E21BB2"/>
    <w:multiLevelType w:val="hybridMultilevel"/>
    <w:lvl w:ilvl="0">
      <w:lvlJc w:val="left"/>
      <w:lvlText w:val="%1."/>
      <w:numFmt w:val="lowerRoman"/>
      <w:start w:val="1"/>
    </w:lvl>
  </w:abstractNum>
  <w:abstractNum w:abstractNumId="60">
    <w:nsid w:val="75E0858A"/>
    <w:multiLevelType w:val="hybridMultilevel"/>
    <w:lvl w:ilvl="0">
      <w:lvlJc w:val="left"/>
      <w:lvlText w:val="(%1)"/>
      <w:numFmt w:val="lowerLetter"/>
      <w:start w:val="4"/>
    </w:lvl>
  </w:abstractNum>
  <w:abstractNum w:abstractNumId="61">
    <w:nsid w:val="57A61A29"/>
    <w:multiLevelType w:val="hybridMultilevel"/>
    <w:lvl w:ilvl="0">
      <w:lvlJc w:val="left"/>
      <w:lvlText w:val="(%1)"/>
      <w:numFmt w:val="lowerLetter"/>
      <w:start w:val="5"/>
    </w:lvl>
    <w:lvl w:ilvl="1">
      <w:lvlJc w:val="left"/>
      <w:lvlText w:val="(%2)"/>
      <w:numFmt w:val="lowerRoman"/>
      <w:start w:val="1"/>
    </w:lvl>
  </w:abstractNum>
  <w:abstractNum w:abstractNumId="62">
    <w:nsid w:val="5399C654"/>
    <w:multiLevelType w:val="hybridMultilevel"/>
    <w:lvl w:ilvl="0">
      <w:lvlJc w:val="left"/>
      <w:lvlText w:val="(%1)"/>
      <w:numFmt w:val="lowerLetter"/>
      <w:start w:val="6"/>
    </w:lvl>
  </w:abstractNum>
  <w:abstractNum w:abstractNumId="63">
    <w:nsid w:val="20EE1348"/>
    <w:multiLevelType w:val="hybridMultilevel"/>
    <w:lvl w:ilvl="0">
      <w:lvlJc w:val="left"/>
      <w:lvlText w:val="(%1)"/>
      <w:numFmt w:val="lowerLetter"/>
      <w:start w:val="8"/>
    </w:lvl>
  </w:abstractNum>
  <w:abstractNum w:abstractNumId="64">
    <w:nsid w:val="4427069A"/>
    <w:multiLevelType w:val="hybridMultilevel"/>
    <w:lvl w:ilvl="0">
      <w:lvlJc w:val="left"/>
      <w:lvlText w:val="%1."/>
      <w:numFmt w:val="decimal"/>
      <w:start w:val="3"/>
    </w:lvl>
  </w:abstractNum>
  <w:abstractNum w:abstractNumId="65">
    <w:nsid w:val="B37E80A"/>
    <w:multiLevelType w:val="hybridMultilevel"/>
    <w:lvl w:ilvl="0">
      <w:lvlJc w:val="left"/>
      <w:lvlText w:val="(%1)"/>
      <w:numFmt w:val="lowerLetter"/>
      <w:start w:val="1"/>
    </w:lvl>
  </w:abstractNum>
  <w:abstractNum w:abstractNumId="66">
    <w:nsid w:val="2157F6BC"/>
    <w:multiLevelType w:val="hybridMultilevel"/>
    <w:lvl w:ilvl="0">
      <w:lvlJc w:val="left"/>
      <w:lvlText w:val="(%1)"/>
      <w:numFmt w:val="lowerLetter"/>
      <w:start w:val="2"/>
    </w:lvl>
  </w:abstractNum>
  <w:abstractNum w:abstractNumId="67">
    <w:nsid w:val="704E1DD5"/>
    <w:multiLevelType w:val="hybridMultilevel"/>
    <w:lvl w:ilvl="0">
      <w:lvlJc w:val="left"/>
      <w:lvlText w:val="%1."/>
      <w:numFmt w:val="decimal"/>
      <w:start w:val="4"/>
    </w:lvl>
  </w:abstractNum>
  <w:abstractNum w:abstractNumId="68">
    <w:nsid w:val="57D2F10E"/>
    <w:multiLevelType w:val="hybridMultilevel"/>
    <w:lvl w:ilvl="0">
      <w:lvlJc w:val="left"/>
      <w:lvlText w:val="%1."/>
      <w:numFmt w:val="decimal"/>
      <w:start w:val="5"/>
    </w:lvl>
  </w:abstractNum>
  <w:abstractNum w:abstractNumId="69">
    <w:nsid w:val="BFFAE18"/>
    <w:multiLevelType w:val="hybridMultilevel"/>
    <w:lvl w:ilvl="0">
      <w:lvlJc w:val="left"/>
      <w:lvlText w:val="%1."/>
      <w:numFmt w:val="decimal"/>
      <w:start w:val="6"/>
    </w:lvl>
  </w:abstractNum>
  <w:abstractNum w:abstractNumId="70">
    <w:nsid w:val="E3E47A8"/>
    <w:multiLevelType w:val="hybridMultilevel"/>
    <w:lvl w:ilvl="0">
      <w:lvlJc w:val="left"/>
      <w:lvlText w:val="(%1)"/>
      <w:numFmt w:val="lowerLetter"/>
      <w:start w:val="1"/>
    </w:lvl>
  </w:abstractNum>
  <w:abstractNum w:abstractNumId="71">
    <w:nsid w:val="2E48F044"/>
    <w:multiLevelType w:val="hybridMultilevel"/>
    <w:lvl w:ilvl="0">
      <w:lvlJc w:val="left"/>
      <w:lvlText w:val="(%1)"/>
      <w:numFmt w:val="lowerLetter"/>
      <w:start w:val="2"/>
    </w:lvl>
  </w:abstractNum>
  <w:abstractNum w:abstractNumId="72">
    <w:nsid w:val="49D0FEAC"/>
    <w:multiLevelType w:val="hybridMultilevel"/>
    <w:lvl w:ilvl="0">
      <w:lvlJc w:val="left"/>
      <w:lvlText w:val="(%1)"/>
      <w:numFmt w:val="lowerRoman"/>
      <w:start w:val="1"/>
    </w:lvl>
  </w:abstractNum>
  <w:abstractNum w:abstractNumId="73">
    <w:nsid w:val="4BEE5A5B"/>
    <w:multiLevelType w:val="hybridMultilevel"/>
    <w:lvl w:ilvl="0">
      <w:lvlJc w:val="left"/>
      <w:lvlText w:val="(%1)"/>
      <w:numFmt w:val="lowerLetter"/>
      <w:start w:val="4"/>
    </w:lvl>
  </w:abstractNum>
  <w:abstractNum w:abstractNumId="74">
    <w:nsid w:val="5551B9F3"/>
    <w:multiLevelType w:val="hybridMultilevel"/>
    <w:lvl w:ilvl="0">
      <w:lvlJc w:val="left"/>
      <w:lvlText w:val="(%1)"/>
      <w:numFmt w:val="lowerLetter"/>
      <w:start w:val="6"/>
    </w:lvl>
  </w:abstractNum>
  <w:abstractNum w:abstractNumId="75">
    <w:nsid w:val="24F6AB8E"/>
    <w:multiLevelType w:val="hybridMultilevel"/>
    <w:lvl w:ilvl="0">
      <w:lvlJc w:val="left"/>
      <w:lvlText w:val="(%1)"/>
      <w:numFmt w:val="lowerLetter"/>
      <w:start w:val="8"/>
    </w:lvl>
  </w:abstractNum>
  <w:abstractNum w:abstractNumId="76">
    <w:nsid w:val="634C574C"/>
    <w:multiLevelType w:val="hybridMultilevel"/>
    <w:lvl w:ilvl="0">
      <w:lvlJc w:val="left"/>
      <w:lvlText w:val="%1."/>
      <w:numFmt w:val="decimal"/>
      <w:start w:val="8"/>
    </w:lvl>
  </w:abstractNum>
  <w:abstractNum w:abstractNumId="77">
    <w:nsid w:val="24E99DD7"/>
    <w:multiLevelType w:val="hybridMultilevel"/>
    <w:lvl w:ilvl="0">
      <w:lvlJc w:val="left"/>
      <w:lvlText w:val="(%1)"/>
      <w:numFmt w:val="lowerLetter"/>
      <w:start w:val="1"/>
    </w:lvl>
  </w:abstractNum>
  <w:abstractNum w:abstractNumId="78">
    <w:nsid w:val="2A31B62D"/>
    <w:multiLevelType w:val="hybridMultilevel"/>
    <w:lvl w:ilvl="0">
      <w:lvlJc w:val="left"/>
      <w:lvlText w:val="(%1)"/>
      <w:numFmt w:val="lowerLetter"/>
      <w:start w:val="3"/>
    </w:lvl>
  </w:abstractNum>
  <w:abstractNum w:abstractNumId="79">
    <w:nsid w:val="1849C29B"/>
    <w:multiLevelType w:val="hybridMultilevel"/>
    <w:lvl w:ilvl="0">
      <w:lvlJc w:val="left"/>
      <w:lvlText w:val="%1."/>
      <w:numFmt w:val="decimal"/>
      <w:start w:val="10"/>
    </w:lvl>
  </w:abstractNum>
  <w:abstractNum w:abstractNumId="80">
    <w:nsid w:val="7DFF9D09"/>
    <w:multiLevelType w:val="hybridMultilevel"/>
    <w:lvl w:ilvl="0">
      <w:lvlJc w:val="left"/>
      <w:lvlText w:val="(%1)"/>
      <w:numFmt w:val="lowerLetter"/>
      <w:start w:val="1"/>
    </w:lvl>
  </w:abstractNum>
  <w:abstractNum w:abstractNumId="81">
    <w:nsid w:val="754342"/>
    <w:multiLevelType w:val="hybridMultilevel"/>
    <w:lvl w:ilvl="0">
      <w:lvlJc w:val="left"/>
      <w:lvlText w:val="%1."/>
      <w:numFmt w:val="decimal"/>
      <w:start w:val="12"/>
    </w:lvl>
  </w:abstractNum>
  <w:abstractNum w:abstractNumId="82">
    <w:nsid w:val="69E7F3E5"/>
    <w:multiLevelType w:val="hybridMultilevel"/>
    <w:lvl w:ilvl="0">
      <w:lvlJc w:val="left"/>
      <w:lvlText w:val="%1."/>
      <w:numFmt w:val="decimal"/>
      <w:start w:val="14"/>
    </w:lvl>
  </w:abstractNum>
  <w:abstractNum w:abstractNumId="83">
    <w:nsid w:val="2A6DE806"/>
    <w:multiLevelType w:val="hybridMultilevel"/>
    <w:lvl w:ilvl="0">
      <w:lvlJc w:val="left"/>
      <w:lvlText w:val="(%1)"/>
      <w:numFmt w:val="lowerLetter"/>
      <w:start w:val="1"/>
    </w:lvl>
  </w:abstractNum>
  <w:abstractNum w:abstractNumId="84">
    <w:nsid w:val="1816F8C4"/>
    <w:multiLevelType w:val="hybridMultilevel"/>
    <w:lvl w:ilvl="0">
      <w:lvlJc w:val="left"/>
      <w:lvlText w:val="(%1)"/>
      <w:numFmt w:val="lowerLetter"/>
      <w:start w:val="6"/>
    </w:lvl>
  </w:abstractNum>
  <w:abstractNum w:abstractNumId="85">
    <w:nsid w:val="37DF2233"/>
    <w:multiLevelType w:val="hybridMultilevel"/>
    <w:lvl w:ilvl="0">
      <w:lvlJc w:val="left"/>
      <w:lvlText w:val="%1."/>
      <w:numFmt w:val="decimal"/>
      <w:start w:val="1"/>
    </w:lvl>
  </w:abstractNum>
  <w:abstractNum w:abstractNumId="86">
    <w:nsid w:val="7AB49DAF"/>
    <w:multiLevelType w:val="hybridMultilevel"/>
    <w:lvl w:ilvl="0">
      <w:lvlJc w:val="left"/>
      <w:lvlText w:val="(%1)"/>
      <w:numFmt w:val="lowerLetter"/>
      <w:start w:val="1"/>
    </w:lvl>
  </w:abstractNum>
  <w:abstractNum w:abstractNumId="87">
    <w:nsid w:val="759F82CD"/>
    <w:multiLevelType w:val="hybridMultilevel"/>
    <w:lvl w:ilvl="0">
      <w:lvlJc w:val="left"/>
      <w:lvlText w:val="%1."/>
      <w:numFmt w:val="decimal"/>
      <w:start w:val="2"/>
    </w:lvl>
  </w:abstractNum>
  <w:abstractNum w:abstractNumId="88">
    <w:nsid w:val="61E74EA3"/>
    <w:multiLevelType w:val="hybridMultilevel"/>
    <w:lvl w:ilvl="0">
      <w:lvlJc w:val="left"/>
      <w:lvlText w:val="(%1)"/>
      <w:numFmt w:val="lowerLetter"/>
      <w:start w:val="1"/>
    </w:lvl>
  </w:abstractNum>
  <w:abstractNum w:abstractNumId="89">
    <w:nsid w:val="597B4D84"/>
    <w:multiLevelType w:val="hybridMultilevel"/>
    <w:lvl w:ilvl="0">
      <w:lvlJc w:val="left"/>
      <w:lvlText w:val="(%1)"/>
      <w:numFmt w:val="lowerLetter"/>
      <w:start w:val="2"/>
    </w:lvl>
  </w:abstractNum>
  <w:abstractNum w:abstractNumId="90">
    <w:nsid w:val="F819E7F"/>
    <w:multiLevelType w:val="hybridMultilevel"/>
    <w:lvl w:ilvl="0">
      <w:lvlJc w:val="left"/>
      <w:lvlText w:val="(%1)"/>
      <w:numFmt w:val="lowerLetter"/>
      <w:start w:val="3"/>
    </w:lvl>
  </w:abstractNum>
  <w:abstractNum w:abstractNumId="91">
    <w:nsid w:val="57C7D42D"/>
    <w:multiLevelType w:val="hybridMultilevel"/>
    <w:lvl w:ilvl="0">
      <w:lvlJc w:val="left"/>
      <w:lvlText w:val="%1."/>
      <w:numFmt w:val="decimal"/>
      <w:start w:val="3"/>
    </w:lvl>
  </w:abstractNum>
  <w:abstractNum w:abstractNumId="92">
    <w:nsid w:val="312167AD"/>
    <w:multiLevelType w:val="hybridMultilevel"/>
    <w:lvl w:ilvl="0">
      <w:lvlJc w:val="left"/>
      <w:lvlText w:val="(%1)"/>
      <w:numFmt w:val="lowerLetter"/>
      <w:start w:val="1"/>
    </w:lvl>
    <w:lvl w:ilvl="1">
      <w:lvlJc w:val="left"/>
      <w:lvlText w:val="(%2)"/>
      <w:numFmt w:val="lowerRoman"/>
      <w:start w:val="1"/>
    </w:lvl>
  </w:abstractNum>
  <w:abstractNum w:abstractNumId="93">
    <w:nsid w:val="631B64D4"/>
    <w:multiLevelType w:val="hybridMultilevel"/>
    <w:lvl w:ilvl="0">
      <w:lvlJc w:val="left"/>
      <w:lvlText w:val="(%1)"/>
      <w:numFmt w:val="lowerRoman"/>
      <w:start w:val="5"/>
    </w:lvl>
  </w:abstractNum>
  <w:abstractNum w:abstractNumId="94">
    <w:nsid w:val="78B5E776"/>
    <w:multiLevelType w:val="hybridMultilevel"/>
    <w:lvl w:ilvl="0">
      <w:lvlJc w:val="left"/>
      <w:lvlText w:val="(%1)"/>
      <w:numFmt w:val="lowerLetter"/>
      <w:start w:val="2"/>
    </w:lvl>
    <w:lvl w:ilvl="1">
      <w:lvlJc w:val="left"/>
      <w:lvlText w:val="(%2)"/>
      <w:numFmt w:val="lowerRoman"/>
      <w:start w:val="1"/>
    </w:lvl>
  </w:abstractNum>
  <w:abstractNum w:abstractNumId="95">
    <w:nsid w:val="75486E47"/>
    <w:multiLevelType w:val="hybridMultilevel"/>
    <w:lvl w:ilvl="0">
      <w:lvlJc w:val="left"/>
      <w:lvlText w:val="(%1)"/>
      <w:numFmt w:val="lowerLetter"/>
      <w:start w:val="3"/>
    </w:lvl>
  </w:abstractNum>
  <w:abstractNum w:abstractNumId="96">
    <w:nsid w:val="6E534CDE"/>
    <w:multiLevelType w:val="hybridMultilevel"/>
    <w:lvl w:ilvl="0">
      <w:lvlJc w:val="left"/>
      <w:lvlText w:val="(%1)"/>
      <w:numFmt w:val="lowerRoman"/>
      <w:start w:val="1"/>
    </w:lvl>
  </w:abstractNum>
  <w:abstractNum w:abstractNumId="97">
    <w:nsid w:val="1A0DDE32"/>
    <w:multiLevelType w:val="hybridMultilevel"/>
    <w:lvl w:ilvl="0">
      <w:lvlJc w:val="left"/>
      <w:lvlText w:val="(%1)"/>
      <w:numFmt w:val="lowerLetter"/>
      <w:start w:val="4"/>
    </w:lvl>
    <w:lvl w:ilvl="1">
      <w:lvlJc w:val="left"/>
      <w:lvlText w:val="(%2)"/>
      <w:numFmt w:val="lowerRoman"/>
      <w:start w:val="1"/>
    </w:lvl>
  </w:abstractNum>
  <w:abstractNum w:abstractNumId="98">
    <w:nsid w:val="65968C1C"/>
    <w:multiLevelType w:val="hybridMultilevel"/>
    <w:lvl w:ilvl="0">
      <w:lvlJc w:val="left"/>
      <w:lvlText w:val="(%1)"/>
      <w:numFmt w:val="lowerLetter"/>
      <w:start w:val="9"/>
    </w:lvl>
  </w:abstractNum>
  <w:abstractNum w:abstractNumId="99">
    <w:nsid w:val="46263DEC"/>
    <w:multiLevelType w:val="hybridMultilevel"/>
    <w:lvl w:ilvl="0">
      <w:lvlJc w:val="left"/>
      <w:lvlText w:val="(%1)"/>
      <w:numFmt w:val="lowerRoman"/>
      <w:start w:val="10"/>
    </w:lvl>
    <w:lvl w:ilvl="1">
      <w:lvlJc w:val="left"/>
      <w:lvlText w:val="%2."/>
      <w:numFmt w:val="decimal"/>
      <w:start w:val="4"/>
    </w:lvl>
  </w:abstractNum>
  <w:abstractNum w:abstractNumId="100">
    <w:nsid w:val="260D8C4A"/>
    <w:multiLevelType w:val="hybridMultilevel"/>
    <w:lvl w:ilvl="0">
      <w:lvlJc w:val="left"/>
      <w:lvlText w:val="(%1)"/>
      <w:numFmt w:val="lowerLetter"/>
      <w:start w:val="1"/>
    </w:lvl>
  </w:abstractNum>
  <w:abstractNum w:abstractNumId="101">
    <w:nsid w:val="73D4D3C4"/>
    <w:multiLevelType w:val="hybridMultilevel"/>
    <w:lvl w:ilvl="0">
      <w:lvlJc w:val="left"/>
      <w:lvlText w:val="%1."/>
      <w:numFmt w:val="decimal"/>
      <w:start w:val="5"/>
    </w:lvl>
  </w:abstractNum>
  <w:abstractNum w:abstractNumId="102">
    <w:nsid w:val="746F2E30"/>
    <w:multiLevelType w:val="hybridMultilevel"/>
    <w:lvl w:ilvl="0">
      <w:lvlJc w:val="left"/>
      <w:lvlText w:val="(%1)"/>
      <w:numFmt w:val="lowerLetter"/>
      <w:start w:val="1"/>
    </w:lvl>
  </w:abstractNum>
  <w:abstractNum w:abstractNumId="103">
    <w:nsid w:val="6FDE8AF6"/>
    <w:multiLevelType w:val="hybridMultilevel"/>
    <w:lvl w:ilvl="0">
      <w:lvlJc w:val="left"/>
      <w:lvlText w:val="(%1)"/>
      <w:numFmt w:val="lowerLetter"/>
      <w:start w:val="2"/>
    </w:lvl>
  </w:abstractNum>
  <w:abstractNum w:abstractNumId="104">
    <w:nsid w:val="3FC32E20"/>
    <w:multiLevelType w:val="hybridMultilevel"/>
    <w:lvl w:ilvl="0">
      <w:lvlJc w:val="left"/>
      <w:lvlText w:val="(%1)"/>
      <w:numFmt w:val="lowerRoman"/>
      <w:start w:val="1"/>
    </w:lvl>
  </w:abstractNum>
  <w:abstractNum w:abstractNumId="105">
    <w:nsid w:val="49C0E823"/>
    <w:multiLevelType w:val="hybridMultilevel"/>
    <w:lvl w:ilvl="0">
      <w:lvlJc w:val="left"/>
      <w:lvlText w:val="(%1)"/>
      <w:numFmt w:val="lowerRoman"/>
      <w:start w:val="2"/>
    </w:lvl>
  </w:abstractNum>
  <w:abstractNum w:abstractNumId="106">
    <w:nsid w:val="14D53685"/>
    <w:multiLevelType w:val="hybridMultilevel"/>
    <w:lvl w:ilvl="0">
      <w:lvlJc w:val="left"/>
      <w:lvlText w:val="(%1)"/>
      <w:numFmt w:val="lowerLetter"/>
      <w:start w:val="4"/>
    </w:lvl>
  </w:abstractNum>
  <w:abstractNum w:abstractNumId="107">
    <w:nsid w:val="230F856C"/>
    <w:multiLevelType w:val="hybridMultilevel"/>
    <w:lvl w:ilvl="0">
      <w:lvlJc w:val="left"/>
      <w:lvlText w:val="%1"/>
      <w:numFmt w:val="lowerLetter"/>
      <w:start w:val="1"/>
    </w:lvl>
    <w:lvl w:ilvl="1">
      <w:lvlJc w:val="left"/>
      <w:lvlText w:val="(%2)"/>
      <w:numFmt w:val="lowerLetter"/>
      <w:start w:val="6"/>
    </w:lvl>
  </w:abstractNum>
  <w:abstractNum w:abstractNumId="108">
    <w:nsid w:val="6EAA85FB"/>
    <w:multiLevelType w:val="hybridMultilevel"/>
    <w:lvl w:ilvl="0">
      <w:lvlJc w:val="left"/>
      <w:lvlText w:val="(%1)"/>
      <w:numFmt w:val="lowerLetter"/>
      <w:start w:val="61"/>
    </w:lvl>
    <w:lvl w:ilvl="1">
      <w:lvlJc w:val="left"/>
      <w:lvlText w:val="(%2)"/>
      <w:numFmt w:val="lowerLetter"/>
      <w:start w:val="7"/>
    </w:lvl>
  </w:abstractNum>
  <w:abstractNum w:abstractNumId="109">
    <w:nsid w:val="3F06ECB2"/>
    <w:multiLevelType w:val="hybridMultilevel"/>
    <w:lvl w:ilvl="0">
      <w:lvlJc w:val="left"/>
      <w:lvlText w:val="%1."/>
      <w:numFmt w:val="decimal"/>
      <w:start w:val="6"/>
    </w:lvl>
  </w:abstractNum>
  <w:abstractNum w:abstractNumId="110">
    <w:nsid w:val="3B594807"/>
    <w:multiLevelType w:val="hybridMultilevel"/>
    <w:lvl w:ilvl="0">
      <w:lvlJc w:val="left"/>
      <w:lvlText w:val="(%1)"/>
      <w:numFmt w:val="lowerLetter"/>
      <w:start w:val="1"/>
    </w:lvl>
  </w:abstractNum>
  <w:abstractNum w:abstractNumId="111">
    <w:nsid w:val="6CAA2304"/>
    <w:multiLevelType w:val="hybridMultilevel"/>
    <w:lvl w:ilvl="0">
      <w:lvlJc w:val="left"/>
      <w:lvlText w:val="(%1)"/>
      <w:numFmt w:val="lowerLetter"/>
      <w:start w:val="3"/>
    </w:lvl>
  </w:abstractNum>
  <w:abstractNum w:abstractNumId="112">
    <w:nsid w:val="3F7C2FF4"/>
    <w:multiLevelType w:val="hybridMultilevel"/>
    <w:lvl w:ilvl="0">
      <w:lvlJc w:val="left"/>
      <w:lvlText w:val="%1."/>
      <w:numFmt w:val="decimal"/>
      <w:start w:val="8"/>
    </w:lvl>
  </w:abstractNum>
  <w:abstractNum w:abstractNumId="113">
    <w:nsid w:val="25413BEC"/>
    <w:multiLevelType w:val="hybridMultilevel"/>
    <w:lvl w:ilvl="0">
      <w:lvlJc w:val="left"/>
      <w:lvlText w:val="(%1)"/>
      <w:numFmt w:val="lowerLetter"/>
      <w:start w:val="1"/>
    </w:lvl>
  </w:abstractNum>
  <w:abstractNum w:abstractNumId="114">
    <w:nsid w:val="17180B0B"/>
    <w:multiLevelType w:val="hybridMultilevel"/>
    <w:lvl w:ilvl="0">
      <w:lvlJc w:val="left"/>
      <w:lvlText w:val="%1."/>
      <w:numFmt w:val="decimal"/>
      <w:start w:val="10"/>
    </w:lvl>
  </w:abstractNum>
  <w:abstractNum w:abstractNumId="115">
    <w:nsid w:val="579328B9"/>
    <w:multiLevelType w:val="hybridMultilevel"/>
    <w:lvl w:ilvl="0">
      <w:lvlJc w:val="left"/>
      <w:lvlText w:val="(%1)"/>
      <w:numFmt w:val="lowerLetter"/>
      <w:start w:val="1"/>
    </w:lvl>
  </w:abstractNum>
  <w:abstractNum w:abstractNumId="116">
    <w:nsid w:val="5D205E20"/>
    <w:multiLevelType w:val="hybridMultilevel"/>
    <w:lvl w:ilvl="0">
      <w:lvlJc w:val="left"/>
      <w:lvlText w:val="(%1)"/>
      <w:numFmt w:val="lowerLetter"/>
      <w:start w:val="2"/>
    </w:lvl>
  </w:abstractNum>
  <w:abstractNum w:abstractNumId="117">
    <w:nsid w:val="11CCA8BA"/>
    <w:multiLevelType w:val="hybridMultilevel"/>
    <w:lvl w:ilvl="0">
      <w:lvlJc w:val="left"/>
      <w:lvlText w:val="%1."/>
      <w:numFmt w:val="decimal"/>
      <w:start w:val="12"/>
    </w:lvl>
  </w:abstractNum>
  <w:abstractNum w:abstractNumId="118">
    <w:nsid w:val="4D32AB86"/>
    <w:multiLevelType w:val="hybridMultilevel"/>
    <w:lvl w:ilvl="0">
      <w:lvlJc w:val="left"/>
      <w:lvlText w:val="(%1)"/>
      <w:numFmt w:val="lowerLetter"/>
      <w:start w:val="1"/>
    </w:lvl>
  </w:abstractNum>
  <w:abstractNum w:abstractNumId="119">
    <w:nsid w:val="3F07ACC3"/>
    <w:multiLevelType w:val="hybridMultilevel"/>
    <w:lvl w:ilvl="0">
      <w:lvlJc w:val="left"/>
      <w:lvlText w:val="(%1)"/>
      <w:numFmt w:val="lowerLetter"/>
      <w:start w:val="3"/>
    </w:lvl>
  </w:abstractNum>
  <w:abstractNum w:abstractNumId="120">
    <w:nsid w:val="6B47F63E"/>
    <w:multiLevelType w:val="hybridMultilevel"/>
    <w:lvl w:ilvl="0">
      <w:lvlJc w:val="left"/>
      <w:lvlText w:val="(%1)"/>
      <w:numFmt w:val="lowerLetter"/>
      <w:start w:val="8"/>
    </w:lvl>
  </w:abstractNum>
  <w:abstractNum w:abstractNumId="121">
    <w:nsid w:val="5CB44A05"/>
    <w:multiLevelType w:val="hybridMultilevel"/>
    <w:lvl w:ilvl="0">
      <w:lvlJc w:val="left"/>
      <w:lvlText w:val="%1."/>
      <w:numFmt w:val="decimal"/>
      <w:start w:val="1"/>
    </w:lvl>
  </w:abstractNum>
  <w:abstractNum w:abstractNumId="122">
    <w:nsid w:val="16CF80F1"/>
    <w:multiLevelType w:val="hybridMultilevel"/>
    <w:lvl w:ilvl="0">
      <w:lvlJc w:val="left"/>
      <w:lvlText w:val="(%1)"/>
      <w:numFmt w:val="lowerLetter"/>
      <w:start w:val="1"/>
    </w:lvl>
  </w:abstractNum>
  <w:abstractNum w:abstractNumId="123">
    <w:nsid w:val="1C695DEC"/>
    <w:multiLevelType w:val="hybridMultilevel"/>
    <w:lvl w:ilvl="0">
      <w:lvlJc w:val="left"/>
      <w:lvlText w:val="%1."/>
      <w:numFmt w:val="decimal"/>
      <w:start w:val="2"/>
    </w:lvl>
  </w:abstractNum>
  <w:abstractNum w:abstractNumId="124">
    <w:nsid w:val="3FCFAED9"/>
    <w:multiLevelType w:val="hybridMultilevel"/>
    <w:lvl w:ilvl="0">
      <w:lvlJc w:val="left"/>
      <w:lvlText w:val="(%1)"/>
      <w:numFmt w:val="lowerLetter"/>
      <w:start w:val="1"/>
    </w:lvl>
    <w:lvl w:ilvl="1">
      <w:lvlJc w:val="left"/>
      <w:lvlText w:val="(%2)"/>
      <w:numFmt w:val="lowerRoman"/>
      <w:start w:val="1"/>
    </w:lvl>
  </w:abstractNum>
  <w:abstractNum w:abstractNumId="125">
    <w:nsid w:val="F856867"/>
    <w:multiLevelType w:val="hybridMultilevel"/>
    <w:lvl w:ilvl="0">
      <w:lvlJc w:val="left"/>
      <w:lvlText w:val="(%1)"/>
      <w:numFmt w:val="lowerLetter"/>
      <w:start w:val="4"/>
    </w:lvl>
    <w:lvl w:ilvl="1">
      <w:lvlJc w:val="left"/>
      <w:lvlText w:val="%2."/>
      <w:numFmt w:val="lowerRoman"/>
      <w:start w:val="1"/>
    </w:lvl>
  </w:abstractNum>
  <w:abstractNum w:abstractNumId="126">
    <w:nsid w:val="11B1CC33"/>
    <w:multiLevelType w:val="hybridMultilevel"/>
    <w:lvl w:ilvl="0">
      <w:lvlJc w:val="left"/>
      <w:lvlText w:val="%1"/>
      <w:numFmt w:val="lowerLetter"/>
      <w:start w:val="1"/>
    </w:lvl>
    <w:lvl w:ilvl="1">
      <w:lvlJc w:val="left"/>
      <w:lvlText w:val="%2."/>
      <w:numFmt w:val="lowerRoman"/>
      <w:start w:val="5"/>
    </w:lvl>
  </w:abstractNum>
  <w:abstractNum w:abstractNumId="127">
    <w:nsid w:val="2E22FBB7"/>
    <w:multiLevelType w:val="hybridMultilevel"/>
    <w:lvl w:ilvl="0">
      <w:lvlJc w:val="left"/>
      <w:lvlText w:val="(%1)"/>
      <w:numFmt w:val="lowerLetter"/>
      <w:start w:val="6"/>
    </w:lvl>
    <w:lvl w:ilvl="1">
      <w:lvlJc w:val="left"/>
      <w:lvlText w:val="%2"/>
      <w:numFmt w:val="lowerRoman"/>
      <w:start w:val="1"/>
    </w:lvl>
  </w:abstractNum>
  <w:abstractNum w:abstractNumId="128">
    <w:nsid w:val="29934699"/>
    <w:multiLevelType w:val="hybridMultilevel"/>
    <w:lvl w:ilvl="0">
      <w:lvlJc w:val="left"/>
      <w:lvlText w:val="(%1)"/>
      <w:numFmt w:val="lowerRoman"/>
      <w:start w:val="1"/>
    </w:lvl>
  </w:abstractNum>
  <w:abstractNum w:abstractNumId="129">
    <w:nsid w:val="77485850"/>
    <w:multiLevelType w:val="hybridMultilevel"/>
    <w:lvl w:ilvl="0">
      <w:lvlJc w:val="left"/>
      <w:lvlText w:val="%1"/>
      <w:numFmt w:val="lowerLetter"/>
      <w:start w:val="1"/>
    </w:lvl>
    <w:lvl w:ilvl="1">
      <w:lvlJc w:val="left"/>
      <w:lvlText w:val="(%2)"/>
      <w:numFmt w:val="lowerRoman"/>
      <w:start w:val="2"/>
    </w:lvl>
  </w:abstractNum>
  <w:abstractNum w:abstractNumId="130">
    <w:nsid w:val="744939A3"/>
    <w:multiLevelType w:val="hybridMultilevel"/>
    <w:lvl w:ilvl="0">
      <w:lvlJc w:val="left"/>
      <w:lvlText w:val="(%1)"/>
      <w:numFmt w:val="lowerLetter"/>
      <w:start w:val="11"/>
    </w:lvl>
    <w:lvl w:ilvl="1">
      <w:lvlJc w:val="left"/>
      <w:lvlText w:val="%2"/>
      <w:numFmt w:val="lowerRoman"/>
      <w:start w:val="1"/>
    </w:lvl>
  </w:abstractNum>
  <w:abstractNum w:abstractNumId="131">
    <w:nsid w:val="4FA0D2E3"/>
    <w:multiLevelType w:val="hybridMultilevel"/>
    <w:lvl w:ilvl="0">
      <w:lvlJc w:val="left"/>
      <w:lvlText w:val="(%1)"/>
      <w:numFmt w:val="lowerLetter"/>
      <w:start w:val="15"/>
    </w:lvl>
  </w:abstractNum>
  <w:abstractNum w:abstractNumId="132">
    <w:nsid w:val="6B1D2C14"/>
    <w:multiLevelType w:val="hybridMultilevel"/>
    <w:lvl w:ilvl="0">
      <w:lvlJc w:val="left"/>
      <w:lvlText w:val="%1."/>
      <w:numFmt w:val="decimal"/>
      <w:start w:val="3"/>
    </w:lvl>
  </w:abstractNum>
  <w:abstractNum w:abstractNumId="133">
    <w:nsid w:val="68B867D3"/>
    <w:multiLevelType w:val="hybridMultilevel"/>
    <w:lvl w:ilvl="0">
      <w:lvlJc w:val="left"/>
      <w:lvlText w:val="(%1)"/>
      <w:numFmt w:val="lowerLetter"/>
      <w:start w:val="1"/>
    </w:lvl>
  </w:abstractNum>
  <w:abstractNum w:abstractNumId="134">
    <w:nsid w:val="3F7F5DD9"/>
    <w:multiLevelType w:val="hybridMultilevel"/>
    <w:lvl w:ilvl="0">
      <w:lvlJc w:val="left"/>
      <w:lvlText w:val="(%1)"/>
      <w:numFmt w:val="lowerLetter"/>
      <w:start w:val="2"/>
    </w:lvl>
  </w:abstractNum>
  <w:abstractNum w:abstractNumId="135">
    <w:nsid w:val="2AE05A34"/>
    <w:multiLevelType w:val="hybridMultilevel"/>
    <w:lvl w:ilvl="0">
      <w:lvlJc w:val="left"/>
      <w:lvlText w:val="%1."/>
      <w:numFmt w:val="decimal"/>
      <w:start w:val="4"/>
    </w:lvl>
  </w:abstractNum>
  <w:abstractNum w:abstractNumId="136">
    <w:nsid w:val="32794FF7"/>
    <w:multiLevelType w:val="hybridMultilevel"/>
    <w:lvl w:ilvl="0">
      <w:lvlJc w:val="left"/>
      <w:lvlText w:val="%1."/>
      <w:numFmt w:val="decimal"/>
      <w:start w:val="5"/>
    </w:lvl>
  </w:abstractNum>
  <w:abstractNum w:abstractNumId="137">
    <w:nsid w:val="5454945E"/>
    <w:multiLevelType w:val="hybridMultilevel"/>
    <w:lvl w:ilvl="0">
      <w:lvlJc w:val="left"/>
      <w:lvlText w:val="(%1)"/>
      <w:numFmt w:val="lowerLetter"/>
      <w:start w:val="1"/>
    </w:lvl>
  </w:abstractNum>
  <w:abstractNum w:abstractNumId="138">
    <w:nsid w:val="4DEFDFA0"/>
    <w:multiLevelType w:val="hybridMultilevel"/>
    <w:lvl w:ilvl="0">
      <w:lvlJc w:val="left"/>
      <w:lvlText w:val="(%1)"/>
      <w:numFmt w:val="lowerLetter"/>
      <w:start w:val="2"/>
    </w:lvl>
  </w:abstractNum>
  <w:abstractNum w:abstractNumId="139">
    <w:nsid w:val="2123D5F2"/>
    <w:multiLevelType w:val="hybridMultilevel"/>
    <w:lvl w:ilvl="0">
      <w:lvlJc w:val="left"/>
      <w:lvlText w:val="%1."/>
      <w:numFmt w:val="decimal"/>
      <w:start w:val="6"/>
    </w:lvl>
  </w:abstractNum>
  <w:abstractNum w:abstractNumId="140">
    <w:nsid w:val="135B8110"/>
    <w:multiLevelType w:val="hybridMultilevel"/>
    <w:lvl w:ilvl="0">
      <w:lvlJc w:val="left"/>
      <w:lvlText w:val="(%1)"/>
      <w:numFmt w:val="lowerLetter"/>
      <w:start w:val="1"/>
    </w:lvl>
  </w:abstractNum>
  <w:abstractNum w:abstractNumId="141">
    <w:nsid w:val="94927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2">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3">
    <w:nsid w:val="52D7B105"/>
    <w:multiLevelType w:val="hybridMultilevel"/>
    <w:lvl w:ilvl="0">
      <w:lvlJc w:val="left"/>
      <w:lvlText w:val="(%1)"/>
      <w:numFmt w:val="lowerLetter"/>
      <w:start w:val="4"/>
    </w:lvl>
  </w:abstractNum>
  <w:abstractNum w:abstractNumId="144">
    <w:nsid w:val="2E8A6394"/>
    <w:multiLevelType w:val="hybridMultilevel"/>
    <w:lvl w:ilvl="0">
      <w:lvlJc w:val="left"/>
      <w:lvlText w:val="(%1)"/>
      <w:numFmt w:val="lowerLetter"/>
      <w:start w:val="5"/>
    </w:lvl>
  </w:abstractNum>
  <w:abstractNum w:abstractNumId="145">
    <w:nsid w:val="24E60401"/>
    <w:multiLevelType w:val="hybridMultilevel"/>
    <w:lvl w:ilvl="0">
      <w:lvlJc w:val="left"/>
      <w:lvlText w:val="(%1)"/>
      <w:numFmt w:val="lowerLetter"/>
      <w:start w:val="7"/>
    </w:lvl>
  </w:abstractNum>
  <w:abstractNum w:abstractNumId="146">
    <w:nsid w:val="2A6AD9BE"/>
    <w:multiLevelType w:val="hybridMultilevel"/>
    <w:lvl w:ilvl="0">
      <w:lvlJc w:val="left"/>
      <w:lvlText w:val="%1."/>
      <w:numFmt w:val="decimal"/>
      <w:start w:val="9"/>
    </w:lvl>
  </w:abstractNum>
  <w:abstractNum w:abstractNumId="147">
    <w:nsid w:val="BAAC1B4"/>
    <w:multiLevelType w:val="hybridMultilevel"/>
    <w:lvl w:ilvl="0">
      <w:lvlJc w:val="left"/>
      <w:lvlText w:val="%1."/>
      <w:numFmt w:val="decimal"/>
      <w:start w:val="10"/>
    </w:lvl>
  </w:abstractNum>
  <w:abstractNum w:abstractNumId="148">
    <w:nsid w:val="36B2ACBC"/>
    <w:multiLevelType w:val="hybridMultilevel"/>
    <w:lvl w:ilvl="0">
      <w:lvlJc w:val="left"/>
      <w:lvlText w:val="(%1)"/>
      <w:numFmt w:val="lowerLetter"/>
      <w:start w:val="1"/>
    </w:lvl>
  </w:abstractNum>
  <w:abstractNum w:abstractNumId="149">
    <w:nsid w:val="779D8544"/>
    <w:multiLevelType w:val="hybridMultilevel"/>
    <w:lvl w:ilvl="0">
      <w:lvlJc w:val="left"/>
      <w:lvlText w:val="%1."/>
      <w:numFmt w:val="decimal"/>
      <w:start w:val="11"/>
    </w:lvl>
  </w:abstractNum>
  <w:abstractNum w:abstractNumId="150">
    <w:nsid w:val="4AB26E78"/>
    <w:multiLevelType w:val="hybridMultilevel"/>
    <w:lvl w:ilvl="0">
      <w:lvlJc w:val="left"/>
      <w:lvlText w:val="(%1)"/>
      <w:numFmt w:val="lowerLetter"/>
      <w:start w:val="1"/>
    </w:lvl>
  </w:abstractNum>
  <w:abstractNum w:abstractNumId="151">
    <w:nsid w:val="21FAA2FA"/>
    <w:multiLevelType w:val="hybridMultilevel"/>
    <w:lvl w:ilvl="0">
      <w:lvlJc w:val="left"/>
      <w:lvlText w:val="%1."/>
      <w:numFmt w:val="decimal"/>
      <w:start w:val="13"/>
    </w:lvl>
  </w:abstractNum>
  <w:abstractNum w:abstractNumId="152">
    <w:nsid w:val="5451CF49"/>
    <w:multiLevelType w:val="hybridMultilevel"/>
    <w:lvl w:ilvl="0">
      <w:lvlJc w:val="left"/>
      <w:lvlText w:val="(%1)"/>
      <w:numFmt w:val="lowerLetter"/>
      <w:start w:val="1"/>
    </w:lvl>
  </w:abstractNum>
  <w:abstractNum w:abstractNumId="153">
    <w:nsid w:val="6181EF69"/>
    <w:multiLevelType w:val="hybridMultilevel"/>
    <w:lvl w:ilvl="0">
      <w:lvlJc w:val="left"/>
      <w:lvlText w:val="(%1)"/>
      <w:numFmt w:val="lowerLetter"/>
      <w:start w:val="5"/>
    </w:lvl>
  </w:abstractNum>
  <w:abstractNum w:abstractNumId="154">
    <w:nsid w:val="3E6400E6"/>
    <w:multiLevelType w:val="hybridMultilevel"/>
    <w:lvl w:ilvl="0">
      <w:lvlJc w:val="left"/>
      <w:lvlText w:val="A"/>
      <w:numFmt w:val="bullet"/>
      <w:start w:val="1"/>
    </w:lvl>
  </w:abstractNum>
  <w:abstractNum w:abstractNumId="155">
    <w:nsid w:val="14217E23"/>
    <w:multiLevelType w:val="hybridMultilevel"/>
    <w:lvl w:ilvl="0">
      <w:lvlJc w:val="left"/>
      <w:lvlText w:val="(%1)"/>
      <w:numFmt w:val="lowerLetter"/>
      <w:start w:val="10"/>
    </w:lvl>
  </w:abstractNum>
  <w:abstractNum w:abstractNumId="156">
    <w:nsid w:val="710757D0"/>
    <w:multiLevelType w:val="hybridMultilevel"/>
    <w:lvl w:ilvl="0">
      <w:lvlJc w:val="left"/>
      <w:lvlText w:val="%1."/>
      <w:numFmt w:val="decimal"/>
      <w:start w:val="1"/>
    </w:lvl>
  </w:abstractNum>
  <w:abstractNum w:abstractNumId="157">
    <w:nsid w:val="5015CD1A"/>
    <w:multiLevelType w:val="hybridMultilevel"/>
    <w:lvl w:ilvl="0">
      <w:lvlJc w:val="left"/>
      <w:lvlText w:val="(%1)"/>
      <w:numFmt w:val="lowerLetter"/>
      <w:start w:val="1"/>
    </w:lvl>
  </w:abstractNum>
  <w:abstractNum w:abstractNumId="158">
    <w:nsid w:val="424479DA"/>
    <w:multiLevelType w:val="hybridMultilevel"/>
    <w:lvl w:ilvl="0">
      <w:lvlJc w:val="left"/>
      <w:lvlText w:val="%1."/>
      <w:numFmt w:val="decimal"/>
      <w:start w:val="3"/>
    </w:lvl>
  </w:abstractNum>
  <w:abstractNum w:abstractNumId="159">
    <w:nsid w:val="1A9A9E69"/>
    <w:multiLevelType w:val="hybridMultilevel"/>
    <w:lvl w:ilvl="0">
      <w:lvlJc w:val="left"/>
      <w:lvlText w:val="(%1)"/>
      <w:numFmt w:val="lowerLetter"/>
      <w:start w:val="1"/>
    </w:lvl>
    <w:lvl w:ilvl="1">
      <w:lvlJc w:val="left"/>
      <w:lvlText w:val="%2."/>
      <w:numFmt w:val="lowerRoman"/>
      <w:start w:val="1"/>
    </w:lvl>
  </w:abstractNum>
  <w:abstractNum w:abstractNumId="160">
    <w:nsid w:val="475E256A"/>
    <w:multiLevelType w:val="hybridMultilevel"/>
    <w:lvl w:ilvl="0">
      <w:lvlJc w:val="left"/>
      <w:lvlText w:val="(%1)"/>
      <w:numFmt w:val="lowerLetter"/>
      <w:start w:val="4"/>
    </w:lvl>
  </w:abstractNum>
  <w:abstractNum w:abstractNumId="161">
    <w:nsid w:val="368DB37E"/>
    <w:multiLevelType w:val="hybridMultilevel"/>
    <w:lvl w:ilvl="0">
      <w:lvlJc w:val="left"/>
      <w:lvlText w:val="(%1)"/>
      <w:numFmt w:val="lowerLetter"/>
      <w:start w:val="5"/>
    </w:lvl>
  </w:abstractNum>
  <w:abstractNum w:abstractNumId="162">
    <w:nsid w:val="6A3B714C"/>
    <w:multiLevelType w:val="hybridMultilevel"/>
    <w:lvl w:ilvl="0">
      <w:lvlJc w:val="left"/>
      <w:lvlText w:val="%1"/>
      <w:numFmt w:val="lowerLetter"/>
      <w:start w:val="1"/>
    </w:lvl>
    <w:lvl w:ilvl="1">
      <w:lvlJc w:val="left"/>
      <w:lvlText w:val="%2."/>
      <w:numFmt w:val="lowerRoman"/>
      <w:start w:val="1"/>
    </w:lvl>
  </w:abstractNum>
  <w:abstractNum w:abstractNumId="163">
    <w:nsid w:val="327B517E"/>
    <w:multiLevelType w:val="hybridMultilevel"/>
    <w:lvl w:ilvl="0">
      <w:lvlJc w:val="left"/>
      <w:lvlText w:val="(%1)"/>
      <w:numFmt w:val="lowerLetter"/>
      <w:start w:val="6"/>
    </w:lvl>
    <w:lvl w:ilvl="1">
      <w:lvlJc w:val="left"/>
      <w:lvlText w:val="%2"/>
      <w:numFmt w:val="lowerRoman"/>
      <w:start w:val="1"/>
    </w:lvl>
  </w:abstractNum>
  <w:abstractNum w:abstractNumId="164">
    <w:nsid w:val="1F461B51"/>
    <w:multiLevelType w:val="hybridMultilevel"/>
    <w:lvl w:ilvl="0">
      <w:lvlJc w:val="left"/>
      <w:lvlText w:val="(%1)"/>
      <w:numFmt w:val="lowerLetter"/>
      <w:start w:val="9"/>
    </w:lvl>
    <w:lvl w:ilvl="1">
      <w:lvlJc w:val="left"/>
      <w:lvlText w:val="%2."/>
      <w:numFmt w:val="lowerRoman"/>
      <w:start w:val="1"/>
    </w:lvl>
  </w:abstractNum>
  <w:abstractNum w:abstractNumId="165">
    <w:nsid w:val="29BACF25"/>
    <w:multiLevelType w:val="hybridMultilevel"/>
    <w:lvl w:ilvl="0">
      <w:lvlJc w:val="left"/>
      <w:lvlText w:val="(%1)"/>
      <w:numFmt w:val="lowerLetter"/>
      <w:start w:val="12"/>
    </w:lvl>
  </w:abstractNum>
  <w:abstractNum w:abstractNumId="166">
    <w:nsid w:val="5D5BABB3"/>
    <w:multiLevelType w:val="hybridMultilevel"/>
    <w:lvl w:ilvl="0">
      <w:lvlJc w:val="left"/>
      <w:lvlText w:val="(%1)"/>
      <w:numFmt w:val="lowerLetter"/>
      <w:start w:val="13"/>
    </w:lvl>
  </w:abstractNum>
  <w:abstractNum w:abstractNumId="167">
    <w:nsid w:val="51BF6B48"/>
    <w:multiLevelType w:val="hybridMultilevel"/>
    <w:lvl w:ilvl="0">
      <w:lvlJc w:val="left"/>
      <w:lvlText w:val="(%1)"/>
      <w:numFmt w:val="lowerLetter"/>
      <w:start w:val="19"/>
    </w:lvl>
  </w:abstractNum>
  <w:abstractNum w:abstractNumId="168">
    <w:nsid w:val="7E0F6384"/>
    <w:multiLevelType w:val="hybridMultilevel"/>
    <w:lvl w:ilvl="0">
      <w:lvlJc w:val="left"/>
      <w:lvlText w:val="%1."/>
      <w:numFmt w:val="decimal"/>
      <w:start w:val="4"/>
    </w:lvl>
  </w:abstractNum>
  <w:abstractNum w:abstractNumId="169">
    <w:nsid w:val="2B4B8B53"/>
    <w:multiLevelType w:val="hybridMultilevel"/>
    <w:lvl w:ilvl="0">
      <w:lvlJc w:val="left"/>
      <w:lvlText w:val="%1"/>
      <w:numFmt w:val="lowerLetter"/>
      <w:start w:val="1"/>
    </w:lvl>
    <w:lvl w:ilvl="1">
      <w:lvlJc w:val="left"/>
      <w:lvlText w:val="(%2)"/>
      <w:numFmt w:val="lowerLetter"/>
      <w:start w:val="1"/>
    </w:lvl>
  </w:abstractNum>
  <w:abstractNum w:abstractNumId="170">
    <w:nsid w:val="72E3413A"/>
    <w:multiLevelType w:val="hybridMultilevel"/>
    <w:lvl w:ilvl="0">
      <w:lvlJc w:val="left"/>
      <w:lvlText w:val="(%1)"/>
      <w:numFmt w:val="lowerLetter"/>
      <w:start w:val="9"/>
    </w:lvl>
    <w:lvl w:ilvl="1">
      <w:lvlJc w:val="left"/>
      <w:lvlText w:val="(%2)"/>
      <w:numFmt w:val="lowerLetter"/>
      <w:start w:val="2"/>
    </w:lvl>
  </w:abstractNum>
  <w:abstractNum w:abstractNumId="171">
    <w:nsid w:val="116AE494"/>
    <w:multiLevelType w:val="hybridMultilevel"/>
    <w:lvl w:ilvl="0">
      <w:lvlJc w:val="left"/>
      <w:lvlText w:val="%1."/>
      <w:numFmt w:val="decimal"/>
      <w:start w:val="5"/>
    </w:lvl>
  </w:abstractNum>
  <w:abstractNum w:abstractNumId="172">
    <w:nsid w:val="3494B2FB"/>
    <w:multiLevelType w:val="hybridMultilevel"/>
    <w:lvl w:ilvl="0">
      <w:lvlJc w:val="left"/>
      <w:lvlText w:val="(%1)"/>
      <w:numFmt w:val="lowerLetter"/>
      <w:start w:val="1"/>
    </w:lvl>
    <w:lvl w:ilvl="1">
      <w:lvlJc w:val="left"/>
      <w:lvlText w:val="%2."/>
      <w:numFmt w:val="lowerRoman"/>
      <w:start w:val="1"/>
    </w:lvl>
  </w:abstractNum>
  <w:abstractNum w:abstractNumId="173">
    <w:nsid w:val="B13A31"/>
    <w:multiLevelType w:val="hybridMultilevel"/>
    <w:lvl w:ilvl="0">
      <w:lvlJc w:val="left"/>
      <w:lvlText w:val="(%1)"/>
      <w:numFmt w:val="lowerLetter"/>
      <w:start w:val="3"/>
    </w:lvl>
    <w:lvl w:ilvl="1">
      <w:lvlJc w:val="left"/>
      <w:lvlText w:val="%2."/>
      <w:numFmt w:val="lowerRoman"/>
      <w:start w:val="1"/>
    </w:lvl>
  </w:abstractNum>
  <w:abstractNum w:abstractNumId="174">
    <w:nsid w:val="64429599"/>
    <w:multiLevelType w:val="hybridMultilevel"/>
    <w:lvl w:ilvl="0">
      <w:lvlJc w:val="left"/>
      <w:lvlText w:val="%1."/>
      <w:numFmt w:val="decimal"/>
      <w:start w:val="6"/>
    </w:lvl>
  </w:abstractNum>
  <w:abstractNum w:abstractNumId="175">
    <w:nsid w:val="631F1690"/>
    <w:multiLevelType w:val="hybridMultilevel"/>
    <w:lvl w:ilvl="0">
      <w:lvlJc w:val="left"/>
      <w:lvlText w:val="%1."/>
      <w:numFmt w:val="decimal"/>
      <w:start w:val="7"/>
    </w:lvl>
  </w:abstractNum>
  <w:abstractNum w:abstractNumId="176">
    <w:nsid w:val="25973E32"/>
    <w:multiLevelType w:val="hybridMultilevel"/>
    <w:lvl w:ilvl="0">
      <w:lvlJc w:val="left"/>
      <w:lvlText w:val="%1."/>
      <w:numFmt w:val="decimal"/>
      <w:start w:val="9"/>
    </w:lvl>
  </w:abstractNum>
  <w:abstractNum w:abstractNumId="177">
    <w:nsid w:val="EAD6F57"/>
    <w:multiLevelType w:val="hybridMultilevel"/>
    <w:lvl w:ilvl="0">
      <w:lvlJc w:val="left"/>
      <w:lvlText w:val="%1"/>
      <w:numFmt w:val="upperLetter"/>
      <w:start w:val="1"/>
    </w:lvl>
    <w:lvl w:ilvl="1">
      <w:lvlJc w:val="left"/>
      <w:lvlText w:val="(%2)"/>
      <w:numFmt w:val="lowerLetter"/>
      <w:start w:val="1"/>
    </w:lvl>
  </w:abstractNum>
  <w:abstractNum w:abstractNumId="178">
    <w:nsid w:val="6EC9D844"/>
    <w:multiLevelType w:val="hybridMultilevel"/>
    <w:lvl w:ilvl="0">
      <w:lvlJc w:val="left"/>
      <w:lvlText w:val="(%1)"/>
      <w:numFmt w:val="upperLetter"/>
      <w:start w:val="1"/>
    </w:lvl>
    <w:lvl w:ilvl="1">
      <w:lvlJc w:val="left"/>
      <w:lvlText w:val="%2"/>
      <w:numFmt w:val="lowerLetter"/>
      <w:start w:val="1"/>
    </w:lvl>
  </w:abstractNum>
  <w:abstractNum w:abstractNumId="179">
    <w:nsid w:val="5C49EAE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0">
    <w:nsid w:val="64AF4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397C46BC"/>
    <w:multiLevelType w:val="hybridMultilevel"/>
    <w:lvl w:ilvl="0">
      <w:lvlJc w:val="left"/>
      <w:lvlText w:val="%1."/>
      <w:numFmt w:val="lowerRoman"/>
      <w:start w:val="3"/>
    </w:lvl>
  </w:abstractNum>
  <w:abstractNum w:abstractNumId="182">
    <w:nsid w:val="7E448DE9"/>
    <w:multiLevelType w:val="hybridMultilevel"/>
    <w:lvl w:ilvl="0">
      <w:lvlJc w:val="left"/>
      <w:lvlText w:val="(%1)"/>
      <w:numFmt w:val="lowerLetter"/>
      <w:start w:val="4"/>
    </w:lvl>
  </w:abstractNum>
  <w:abstractNum w:abstractNumId="183">
    <w:nsid w:val="5A9CC3E5"/>
    <w:multiLevelType w:val="hybridMultilevel"/>
    <w:lvl w:ilvl="0">
      <w:lvlJc w:val="left"/>
      <w:lvlText w:val="(%1)"/>
      <w:numFmt w:val="lowerLetter"/>
      <w:start w:val="6"/>
    </w:lvl>
  </w:abstractNum>
  <w:abstractNum w:abstractNumId="184">
    <w:nsid w:val="1AFE3625"/>
    <w:multiLevelType w:val="hybridMultilevel"/>
    <w:lvl w:ilvl="0">
      <w:lvlJc w:val="left"/>
      <w:lvlText w:val="%1."/>
      <w:numFmt w:val="decimal"/>
      <w:start w:val="10"/>
    </w:lvl>
  </w:abstractNum>
  <w:abstractNum w:abstractNumId="185">
    <w:nsid w:val="3CA88ECF"/>
    <w:multiLevelType w:val="hybridMultilevel"/>
    <w:lvl w:ilvl="0">
      <w:lvlJc w:val="left"/>
      <w:lvlText w:val="%1."/>
      <w:numFmt w:val="decimal"/>
      <w:start w:val="11"/>
    </w:lvl>
  </w:abstractNum>
  <w:abstractNum w:abstractNumId="186">
    <w:nsid w:val="6EBE4208"/>
    <w:multiLevelType w:val="hybridMultilevel"/>
    <w:lvl w:ilvl="0">
      <w:lvlJc w:val="left"/>
      <w:lvlText w:val="(%1)"/>
      <w:numFmt w:val="lowerLetter"/>
      <w:start w:val="1"/>
    </w:lvl>
  </w:abstractNum>
  <w:abstractNum w:abstractNumId="187">
    <w:nsid w:val="C058DF5"/>
    <w:multiLevelType w:val="hybridMultilevel"/>
    <w:lvl w:ilvl="0">
      <w:lvlJc w:val="left"/>
      <w:lvlText w:val="(%1)"/>
      <w:numFmt w:val="lowerLetter"/>
      <w:start w:val="4"/>
    </w:lvl>
  </w:abstractNum>
  <w:abstractNum w:abstractNumId="188">
    <w:nsid w:val="CBE5BE9"/>
    <w:multiLevelType w:val="hybridMultilevel"/>
    <w:lvl w:ilvl="0">
      <w:lvlJc w:val="left"/>
      <w:lvlText w:val="%1."/>
      <w:numFmt w:val="decimal"/>
      <w:start w:val="12"/>
    </w:lvl>
  </w:abstractNum>
  <w:abstractNum w:abstractNumId="189">
    <w:nsid w:val="3102BBE2"/>
    <w:multiLevelType w:val="hybridMultilevel"/>
    <w:lvl w:ilvl="0">
      <w:lvlJc w:val="left"/>
      <w:lvlText w:val="(%1)"/>
      <w:numFmt w:val="lowerLetter"/>
      <w:start w:val="1"/>
    </w:lvl>
  </w:abstractNum>
  <w:abstractNum w:abstractNumId="190">
    <w:nsid w:val="26A02C5E"/>
    <w:multiLevelType w:val="hybridMultilevel"/>
    <w:lvl w:ilvl="0">
      <w:lvlJc w:val="left"/>
      <w:lvlText w:val="%1."/>
      <w:numFmt w:val="decimal"/>
      <w:start w:val="14"/>
    </w:lvl>
  </w:abstractNum>
  <w:abstractNum w:abstractNumId="191">
    <w:nsid w:val="541C8153"/>
    <w:multiLevelType w:val="hybridMultilevel"/>
    <w:lvl w:ilvl="0">
      <w:lvlJc w:val="left"/>
      <w:lvlText w:val="%1."/>
      <w:numFmt w:val="decimal"/>
      <w:start w:val="16"/>
    </w:lvl>
  </w:abstractNum>
  <w:abstractNum w:abstractNumId="192">
    <w:nsid w:val="67906F60"/>
    <w:multiLevelType w:val="hybridMultilevel"/>
    <w:lvl w:ilvl="0">
      <w:lvlJc w:val="left"/>
      <w:lvlText w:val="(%1)"/>
      <w:numFmt w:val="lowerLetter"/>
      <w:start w:val="1"/>
    </w:lvl>
  </w:abstractNum>
  <w:abstractNum w:abstractNumId="193">
    <w:nsid w:val="10DB9DAA"/>
    <w:multiLevelType w:val="hybridMultilevel"/>
    <w:lvl w:ilvl="0">
      <w:lvlJc w:val="left"/>
      <w:lvlText w:val="%1."/>
      <w:numFmt w:val="decimal"/>
      <w:start w:val="18"/>
    </w:lvl>
  </w:abstractNum>
  <w:abstractNum w:abstractNumId="194">
    <w:nsid w:val="697D2D2"/>
    <w:multiLevelType w:val="hybridMultilevel"/>
    <w:lvl w:ilvl="0">
      <w:lvlJc w:val="left"/>
      <w:lvlText w:val="(%1)"/>
      <w:numFmt w:val="lowerLetter"/>
      <w:start w:val="1"/>
    </w:lvl>
  </w:abstractNum>
  <w:abstractNum w:abstractNumId="195">
    <w:nsid w:val="6D68AB2"/>
    <w:multiLevelType w:val="hybridMultilevel"/>
    <w:lvl w:ilvl="0">
      <w:lvlJc w:val="left"/>
      <w:lvlText w:val="(%1)"/>
      <w:numFmt w:val="lowerLetter"/>
      <w:start w:val="4"/>
    </w:lvl>
  </w:abstractNum>
  <w:abstractNum w:abstractNumId="196">
    <w:nsid w:val="3A966CD0"/>
    <w:multiLevelType w:val="hybridMultilevel"/>
    <w:lvl w:ilvl="0">
      <w:lvlJc w:val="left"/>
      <w:lvlText w:val="%1."/>
      <w:numFmt w:val="decimal"/>
      <w:start w:val="1"/>
    </w:lvl>
    <w:lvl w:ilvl="1">
      <w:lvlJc w:val="left"/>
      <w:lvlText w:val="%2)"/>
      <w:numFmt w:val="lowerLetter"/>
      <w:start w:val="1"/>
    </w:lvl>
  </w:abstractNum>
  <w:abstractNum w:abstractNumId="197">
    <w:nsid w:val="63F37E85"/>
    <w:multiLevelType w:val="hybridMultilevel"/>
    <w:lvl w:ilvl="0">
      <w:lvlJc w:val="left"/>
      <w:lvlText w:val="%1."/>
      <w:numFmt w:val="decimal"/>
      <w:start w:val="1"/>
    </w:lvl>
    <w:lvl w:ilvl="1">
      <w:lvlJc w:val="left"/>
      <w:lvlText w:val="%2)"/>
      <w:numFmt w:val="lowerLetter"/>
      <w:start w:val="1"/>
    </w:lvl>
  </w:abstractNum>
  <w:abstractNum w:abstractNumId="198">
    <w:nsid w:val="5895F5FA"/>
    <w:multiLevelType w:val="hybridMultilevel"/>
    <w:lvl w:ilvl="0">
      <w:lvlJc w:val="left"/>
      <w:lvlText w:val="(%1)"/>
      <w:numFmt w:val="decimal"/>
      <w:start w:val="1"/>
    </w:lvl>
  </w:abstractNum>
  <w:abstractNum w:abstractNumId="199">
    <w:nsid w:val="38A5D0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53" Type="http://schemas.openxmlformats.org/officeDocument/2006/relationships/image" Target="media/image13.png"/><Relationship Id="rId54"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20" Type="http://schemas.openxmlformats.org/officeDocument/2006/relationships/hyperlink" Target="http://www.sec.gov/Archives/edgar/data/1004434/0000950135-97-004266.txt" TargetMode="External"/><Relationship Id="rId21" Type="http://schemas.openxmlformats.org/officeDocument/2006/relationships/hyperlink" Target="http://www.sec.gov/Archives/edgar/data/1004434/000110465905056203/a05-20277_1ex4d1.htm" TargetMode="External"/><Relationship Id="rId22" Type="http://schemas.openxmlformats.org/officeDocument/2006/relationships/hyperlink" Target="http://www.sec.gov/Archives/edgar/data/1004434/000110465906028490/a06-9042_1def14a.htm#Appendixc_132928" TargetMode="External"/><Relationship Id="rId23" Type="http://schemas.openxmlformats.org/officeDocument/2006/relationships/hyperlink" Target="http://www.sec.gov/Archives/edgar/data/1004434/000100443417000019/amg_06302017xexhibit31.htm" TargetMode="External"/><Relationship Id="rId24" Type="http://schemas.openxmlformats.org/officeDocument/2006/relationships/hyperlink" Target="http://www.sec.gov/Archives/edgar/data/1004434/000100443416000050/amg_09302016xexhibit31.htm" TargetMode="External"/><Relationship Id="rId25" Type="http://schemas.openxmlformats.org/officeDocument/2006/relationships/hyperlink" Target="http://www.sec.gov/Archives/edgar/data/1004434/000100443418000004/amgexhibit41specimens0c8.htm" TargetMode="External"/><Relationship Id="rId26" Type="http://schemas.openxmlformats.org/officeDocument/2006/relationships/hyperlink" Target="http://www.sec.gov/Archives/edgar/data/1004434/000110465907075659/a07-25047_2ex4d2.htm" TargetMode="External"/><Relationship Id="rId27" Type="http://schemas.openxmlformats.org/officeDocument/2006/relationships/hyperlink" Target="http://www.sec.gov/Archives/edgar/data/1004434/000110465907075659/a07-25047_2ex4d3.htm" TargetMode="External"/><Relationship Id="rId28" Type="http://schemas.openxmlformats.org/officeDocument/2006/relationships/hyperlink" Target="http://www.sec.gov/Archives/edgar/data/1004434/000100443414000006/exhibit44-x2006trupsfirsts.htm" TargetMode="External"/><Relationship Id="rId29" Type="http://schemas.openxmlformats.org/officeDocument/2006/relationships/hyperlink" Target="http://www.sec.gov/Archives/edgar/data/1004434/000110465907075659/a07-25047_2ex4d1.htm" TargetMode="External"/><Relationship Id="rId30" Type="http://schemas.openxmlformats.org/officeDocument/2006/relationships/hyperlink" Target="http://www.sec.gov/Archives/edgar/data/1004434/000110465914008462/a14-5385_1ex4d1.htm" TargetMode="External"/><Relationship Id="rId31" Type="http://schemas.openxmlformats.org/officeDocument/2006/relationships/hyperlink" Target="http://www.sec.gov/Archives/edgar/data/1004434/000110465914008462/a14-5385_1ex4d2.htm" TargetMode="External"/><Relationship Id="rId32" Type="http://schemas.openxmlformats.org/officeDocument/2006/relationships/hyperlink" Target="http://www.sec.gov/Archives/edgar/data/1004434/000110465915010489/a14-25059_5ex4d2.htm" TargetMode="External"/><Relationship Id="rId33" Type="http://schemas.openxmlformats.org/officeDocument/2006/relationships/hyperlink" Target="http://www.sec.gov/Archives/edgar/data/1004434/000091205700015163/0000912057-00-015163.txt" TargetMode="External"/><Relationship Id="rId34" Type="http://schemas.openxmlformats.org/officeDocument/2006/relationships/hyperlink" Target="http://www.sec.gov/Archives/edgar/data/1004434/000104746915004126/a2224331zdef14a.htm#toc_la78601_1" TargetMode="External"/><Relationship Id="rId35" Type="http://schemas.openxmlformats.org/officeDocument/2006/relationships/hyperlink" Target="http://www.sec.gov/Archives/edgar/data/1004434/000104746904016516/a2135956zex-10_1.txt" TargetMode="External"/><Relationship Id="rId36" Type="http://schemas.openxmlformats.org/officeDocument/2006/relationships/hyperlink" Target="http://www.sec.gov/Archives/edgar/data/1004434/000104746904016516/a2135956zex-10_2.txt" TargetMode="External"/><Relationship Id="rId37" Type="http://schemas.openxmlformats.org/officeDocument/2006/relationships/hyperlink" Target="http://www.sec.gov/Archives/edgar/data/1004434/000110465906028490/a06-9042_1def14a.htm#AppendixB_193232" TargetMode="External"/><Relationship Id="rId38" Type="http://schemas.openxmlformats.org/officeDocument/2006/relationships/hyperlink" Target="http://www.sec.gov/Archives/edgar/data/1004434/000100443414000006/exhibit106-xamendedandrest.htm" TargetMode="External"/><Relationship Id="rId39" Type="http://schemas.openxmlformats.org/officeDocument/2006/relationships/hyperlink" Target="http://www.sec.gov/Archives/edgar/data/1004434/000110465905054205/a05-18540_1ex10d1.htm" TargetMode="External"/><Relationship Id="rId40" Type="http://schemas.openxmlformats.org/officeDocument/2006/relationships/hyperlink" Target="http://www.sec.gov/Archives/edgar/data/1004434/000104746909002123/a2190957zex-10_9.htm" TargetMode="External"/><Relationship Id="rId41" Type="http://schemas.openxmlformats.org/officeDocument/2006/relationships/hyperlink" Target="http://www.sec.gov/Archives/edgar/data/1004434/000110465910063366/a10-23856_1ex99d1.htm" TargetMode="External"/><Relationship Id="rId42" Type="http://schemas.openxmlformats.org/officeDocument/2006/relationships/hyperlink" Target="http://www.sec.gov/Archives/edgar/data/1004434/000104746911003828/a2203474zdef14a.htm#toc_cm71601_1" TargetMode="External"/><Relationship Id="rId43" Type="http://schemas.openxmlformats.org/officeDocument/2006/relationships/hyperlink" Target="http://www.sec.gov/Archives/edgar/data/1004434/000104746912001372/a2207296zex-10_15.htm" TargetMode="External"/><Relationship Id="rId44" Type="http://schemas.openxmlformats.org/officeDocument/2006/relationships/hyperlink" Target="http://www.sec.gov/Archives/edgar/data/1004434/000104746913001515/a2212939zex-10_14.htm" TargetMode="External"/><Relationship Id="rId45" Type="http://schemas.openxmlformats.org/officeDocument/2006/relationships/hyperlink" Target="http://www.sec.gov/Archives/edgar/data/1004434/000104746913005205/a2214725zdef14a.htm#toc_la17201_1" TargetMode="External"/><Relationship Id="rId46" Type="http://schemas.openxmlformats.org/officeDocument/2006/relationships/hyperlink" Target="http://www.sec.gov/Archives/edgar/data/1004434/000100443414000006/exhibit1015_xrsawardagreem.htm" TargetMode="External"/><Relationship Id="rId47" Type="http://schemas.openxmlformats.org/officeDocument/2006/relationships/hyperlink" Target="http://www.sec.gov/Archives/edgar/data/1004434/000104746911001624/a2202148zex-10_15.htm" TargetMode="External"/><Relationship Id="rId48" Type="http://schemas.openxmlformats.org/officeDocument/2006/relationships/hyperlink" Target="http://www.sec.gov/Archives/edgar/data/1004434/000100443418000004/amg_exhibit1019x123117doc.htm" TargetMode="External"/><Relationship Id="rId49" Type="http://schemas.openxmlformats.org/officeDocument/2006/relationships/hyperlink" Target="http://www.sec.gov/Archives/edgar/data/1004434/000119312519013422/d888576dex101.htm" TargetMode="External"/><Relationship Id="rId50" Type="http://schemas.openxmlformats.org/officeDocument/2006/relationships/hyperlink" Target="http://www.sec.gov/Archives/edgar/data/1004434/000119312519013422/d888576dex102.htm" TargetMode="External"/><Relationship Id="rId51" Type="http://schemas.openxmlformats.org/officeDocument/2006/relationships/hyperlink" Target="http://www.sec.gov/Archives/edgar/data/1004434/000110465916140099/a16-16805_1ex10d1.htm" TargetMode="External"/><Relationship Id="rId52" Type="http://schemas.openxmlformats.org/officeDocument/2006/relationships/hyperlink" Target="http://www.sec.gov/Archives/edgar/data/1004434/000110465916140099/a16-16805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2019-12-28T16:22:49Z</dcterms:created>
  <dcterms:modified xsi:type="dcterms:W3CDTF">2019-12-28T16:22:49Z</dcterms:modified>
</cp:coreProperties>
</file>