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Page 1 of 13</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28" w:lineRule="exact"/>
        <w:rPr>
          <w:sz w:val="24"/>
          <w:szCs w:val="24"/>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 240.13d-1(b), (c) AND (d) AND AMENDMENTS THERETO FILED PURSUANT TO § 240.13d-2</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29"/>
          <w:szCs w:val="29"/>
          <w:b w:val="1"/>
          <w:bCs w:val="1"/>
          <w:color w:val="auto"/>
          <w:vertAlign w:val="superscript"/>
        </w:rPr>
        <w:t>*</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Affiliated Managers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008252108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620" w:right="8300" w:firstLine="8"/>
        <w:spacing w:after="0" w:line="266" w:lineRule="auto"/>
        <w:tabs>
          <w:tab w:leader="none" w:pos="191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 [ ] Rule 13d-1(c) [ ] Rule 13d-1(d)</w:t>
      </w:r>
    </w:p>
    <w:p>
      <w:pPr>
        <w:spacing w:after="0" w:line="200" w:lineRule="exact"/>
        <w:rPr>
          <w:rFonts w:ascii="Times New Roman" w:cs="Times New Roman" w:eastAsia="Times New Roman" w:hAnsi="Times New Roman"/>
          <w:sz w:val="18"/>
          <w:szCs w:val="18"/>
          <w:color w:val="auto"/>
        </w:rPr>
      </w:pPr>
    </w:p>
    <w:p>
      <w:pPr>
        <w:spacing w:after="0" w:line="384" w:lineRule="exact"/>
        <w:rPr>
          <w:rFonts w:ascii="Times New Roman" w:cs="Times New Roman" w:eastAsia="Times New Roman" w:hAnsi="Times New Roman"/>
          <w:sz w:val="18"/>
          <w:szCs w:val="18"/>
          <w:color w:val="auto"/>
        </w:rPr>
      </w:pPr>
    </w:p>
    <w:p>
      <w:pPr>
        <w:spacing w:after="0" w:line="2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29" w:right="339" w:bottom="1440" w:gutter="0" w:footer="0" w:header="0"/>
        </w:sectPr>
      </w:pPr>
    </w:p>
    <w:bookmarkStart w:id="1" w:name="page2"/>
    <w:bookmarkEnd w:id="1"/>
    <w:p>
      <w:pPr>
        <w:spacing w:after="0"/>
        <w:tabs>
          <w:tab w:leader="none" w:pos="3860" w:val="left"/>
          <w:tab w:leader="none" w:pos="10320" w:val="left"/>
        </w:tabs>
        <w:rPr>
          <w:sz w:val="20"/>
          <w:szCs w:val="20"/>
          <w:color w:val="auto"/>
        </w:rPr>
      </w:pPr>
      <w:r>
        <w:rPr>
          <w:rFonts w:ascii="Times New Roman" w:cs="Times New Roman" w:eastAsia="Times New Roman" w:hAnsi="Times New Roman"/>
          <w:sz w:val="18"/>
          <w:szCs w:val="18"/>
          <w:b w:val="1"/>
          <w:bCs w:val="1"/>
          <w:color w:val="auto"/>
        </w:rPr>
        <w:t>CUSIP No. 008252108</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color w:val="auto"/>
        </w:rPr>
        <w:t>Page 2 of 13</w:t>
      </w:r>
    </w:p>
    <w:p>
      <w:pPr>
        <w:spacing w:after="0" w:line="229" w:lineRule="exact"/>
        <w:rPr>
          <w:sz w:val="20"/>
          <w:szCs w:val="20"/>
          <w:color w:val="auto"/>
        </w:rPr>
      </w:pPr>
    </w:p>
    <w:p>
      <w:pPr>
        <w:ind w:left="800" w:right="8100" w:hanging="792"/>
        <w:spacing w:after="0" w:line="563"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Clarkston Capital Partners, LLC</w:t>
      </w:r>
    </w:p>
    <w:p>
      <w:pPr>
        <w:spacing w:after="0" w:line="203"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8780"/>
        <w:spacing w:after="0"/>
        <w:tabs>
          <w:tab w:leader="none" w:pos="95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  ]</w:t>
      </w:r>
    </w:p>
    <w:p>
      <w:pPr>
        <w:spacing w:after="0" w:line="18" w:lineRule="exact"/>
        <w:rPr>
          <w:sz w:val="20"/>
          <w:szCs w:val="20"/>
          <w:color w:val="auto"/>
        </w:rPr>
      </w:pPr>
    </w:p>
    <w:p>
      <w:pPr>
        <w:ind w:left="8780"/>
        <w:spacing w:after="0"/>
        <w:tabs>
          <w:tab w:leader="none" w:pos="95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00" w:hanging="792"/>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right="7820" w:hanging="792"/>
        <w:spacing w:after="0" w:line="611" w:lineRule="auto"/>
        <w:tabs>
          <w:tab w:leader="none" w:pos="8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Michigan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(5)</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31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5"/>
              </w:rPr>
              <w:t>(6)</w:t>
            </w:r>
          </w:p>
        </w:tc>
        <w:tc>
          <w:tcPr>
            <w:tcW w:w="3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2,130,651</w:t>
            </w:r>
          </w:p>
        </w:tc>
        <w:tc>
          <w:tcPr>
            <w:tcW w:w="0" w:type="dxa"/>
            <w:vAlign w:val="bottom"/>
          </w:tcPr>
          <w:p>
            <w:pPr>
              <w:spacing w:after="0"/>
              <w:rPr>
                <w:sz w:val="1"/>
                <w:szCs w:val="1"/>
                <w:color w:val="auto"/>
              </w:rPr>
            </w:pPr>
          </w:p>
        </w:tc>
      </w:tr>
      <w:tr>
        <w:trPr>
          <w:trHeight w:val="113"/>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400" w:type="dxa"/>
            <w:vAlign w:val="bottom"/>
            <w:vMerge w:val="continue"/>
          </w:tcPr>
          <w:p>
            <w:pPr>
              <w:spacing w:after="0"/>
              <w:rPr>
                <w:sz w:val="9"/>
                <w:szCs w:val="9"/>
                <w:color w:val="auto"/>
              </w:rPr>
            </w:pPr>
          </w:p>
        </w:tc>
        <w:tc>
          <w:tcPr>
            <w:tcW w:w="3960" w:type="dxa"/>
            <w:vAlign w:val="bottom"/>
            <w:vMerge w:val="continue"/>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1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Reporting</w:t>
            </w:r>
          </w:p>
        </w:tc>
        <w:tc>
          <w:tcPr>
            <w:tcW w:w="4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5"/>
              </w:rPr>
              <w:t>(7)</w:t>
            </w:r>
          </w:p>
        </w:tc>
        <w:tc>
          <w:tcPr>
            <w:tcW w:w="3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With</w:t>
            </w:r>
          </w:p>
        </w:tc>
        <w:tc>
          <w:tcPr>
            <w:tcW w:w="400" w:type="dxa"/>
            <w:vAlign w:val="bottom"/>
            <w:vMerge w:val="continue"/>
          </w:tcPr>
          <w:p>
            <w:pPr>
              <w:spacing w:after="0"/>
              <w:rPr>
                <w:sz w:val="20"/>
                <w:szCs w:val="20"/>
                <w:color w:val="auto"/>
              </w:rPr>
            </w:pPr>
          </w:p>
        </w:tc>
        <w:tc>
          <w:tcPr>
            <w:tcW w:w="3960" w:type="dxa"/>
            <w:vAlign w:val="bottom"/>
            <w:vMerge w:val="continue"/>
          </w:tcPr>
          <w:p>
            <w:pPr>
              <w:spacing w:after="0"/>
              <w:rPr>
                <w:sz w:val="20"/>
                <w:szCs w:val="20"/>
                <w:color w:val="auto"/>
              </w:rPr>
            </w:pPr>
          </w:p>
        </w:tc>
        <w:tc>
          <w:tcPr>
            <w:tcW w:w="2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14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(8)</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2,229,049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800" w:right="5640" w:hanging="792"/>
        <w:spacing w:after="0" w:line="563"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2,229,049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spacing w:after="0"/>
        <w:tabs>
          <w:tab w:leader="none" w:pos="780" w:val="left"/>
          <w:tab w:leader="none" w:pos="10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00" w:right="6640" w:hanging="792"/>
        <w:spacing w:after="0" w:line="467"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6.59%</w:t>
      </w:r>
      <w:r>
        <w:rPr>
          <w:rFonts w:ascii="Times New Roman" w:cs="Times New Roman" w:eastAsia="Times New Roman" w:hAnsi="Times New Roman"/>
          <w:sz w:val="29"/>
          <w:szCs w:val="29"/>
          <w:color w:val="auto"/>
          <w:vertAlign w:val="superscript"/>
        </w:rPr>
        <w:t>1</w:t>
      </w:r>
    </w:p>
    <w:p>
      <w:pPr>
        <w:spacing w:after="0" w:line="136"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50" w:lineRule="exact"/>
        <w:rPr>
          <w:sz w:val="20"/>
          <w:szCs w:val="20"/>
          <w:color w:val="auto"/>
        </w:rPr>
      </w:pPr>
    </w:p>
    <w:p>
      <w:pPr>
        <w:jc w:val="both"/>
        <w:ind w:firstLine="8"/>
        <w:spacing w:after="0" w:line="210" w:lineRule="auto"/>
        <w:tabs>
          <w:tab w:leader="none" w:pos="139"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upon 33,808,636 shares of Common Stock, par value $0.01 per share (“Common Stock”), of Affiliated Managers Group, Inc. (the “Issuer”) outstanding as of November 2, 2023, as reported in the Issuer’s quarterly report on Form 10-Q filed with the Securities and Exchange Commission on November 6, 2023</w:t>
      </w:r>
    </w:p>
    <w:p>
      <w:pPr>
        <w:sectPr>
          <w:pgSz w:w="11900" w:h="16838" w:orient="portrait"/>
          <w:cols w:equalWidth="0" w:num="1">
            <w:col w:w="11240"/>
          </w:cols>
          <w:pgMar w:left="320" w:top="684" w:right="339" w:bottom="1440" w:gutter="0" w:footer="0" w:header="0"/>
        </w:sectPr>
      </w:pPr>
    </w:p>
    <w:bookmarkStart w:id="2" w:name="page3"/>
    <w:bookmarkEnd w:id="2"/>
    <w:p>
      <w:pPr>
        <w:spacing w:after="0"/>
        <w:tabs>
          <w:tab w:leader="none" w:pos="3860" w:val="left"/>
          <w:tab w:leader="none" w:pos="10320" w:val="left"/>
        </w:tabs>
        <w:rPr>
          <w:sz w:val="20"/>
          <w:szCs w:val="20"/>
          <w:color w:val="auto"/>
        </w:rPr>
      </w:pPr>
      <w:r>
        <w:rPr>
          <w:rFonts w:ascii="Times New Roman" w:cs="Times New Roman" w:eastAsia="Times New Roman" w:hAnsi="Times New Roman"/>
          <w:sz w:val="18"/>
          <w:szCs w:val="18"/>
          <w:b w:val="1"/>
          <w:bCs w:val="1"/>
          <w:color w:val="auto"/>
        </w:rPr>
        <w:t>CUSIP No. 008252108</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color w:val="auto"/>
        </w:rPr>
        <w:t>Page 3 of 13</w:t>
      </w:r>
    </w:p>
    <w:p>
      <w:pPr>
        <w:spacing w:after="0" w:line="229" w:lineRule="exact"/>
        <w:rPr>
          <w:sz w:val="20"/>
          <w:szCs w:val="20"/>
          <w:color w:val="auto"/>
        </w:rPr>
      </w:pPr>
    </w:p>
    <w:p>
      <w:pPr>
        <w:ind w:left="800" w:right="8380" w:hanging="792"/>
        <w:spacing w:after="0" w:line="611" w:lineRule="auto"/>
        <w:tabs>
          <w:tab w:leader="none" w:pos="8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Clarkston Companies, Inc.</w:t>
      </w:r>
    </w:p>
    <w:p>
      <w:pPr>
        <w:spacing w:after="0" w:line="179" w:lineRule="exact"/>
        <w:rPr>
          <w:rFonts w:ascii="Times New Roman" w:cs="Times New Roman" w:eastAsia="Times New Roman" w:hAnsi="Times New Roman"/>
          <w:sz w:val="17"/>
          <w:szCs w:val="17"/>
          <w:color w:val="auto"/>
        </w:rPr>
      </w:pPr>
    </w:p>
    <w:p>
      <w:pPr>
        <w:ind w:left="800" w:hanging="792"/>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8780"/>
        <w:spacing w:after="0"/>
        <w:tabs>
          <w:tab w:leader="none" w:pos="95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  ]</w:t>
      </w:r>
    </w:p>
    <w:p>
      <w:pPr>
        <w:spacing w:after="0" w:line="18" w:lineRule="exact"/>
        <w:rPr>
          <w:sz w:val="20"/>
          <w:szCs w:val="20"/>
          <w:color w:val="auto"/>
        </w:rPr>
      </w:pPr>
    </w:p>
    <w:p>
      <w:pPr>
        <w:ind w:left="8780"/>
        <w:spacing w:after="0"/>
        <w:tabs>
          <w:tab w:leader="none" w:pos="95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00" w:hanging="792"/>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right="7820" w:hanging="792"/>
        <w:spacing w:after="0" w:line="563"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Michigan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-749935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(5)</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31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5"/>
              </w:rPr>
              <w:t>(6)</w:t>
            </w:r>
          </w:p>
        </w:tc>
        <w:tc>
          <w:tcPr>
            <w:tcW w:w="3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2,130,651</w:t>
            </w:r>
          </w:p>
        </w:tc>
        <w:tc>
          <w:tcPr>
            <w:tcW w:w="0" w:type="dxa"/>
            <w:vAlign w:val="bottom"/>
          </w:tcPr>
          <w:p>
            <w:pPr>
              <w:spacing w:after="0"/>
              <w:rPr>
                <w:sz w:val="1"/>
                <w:szCs w:val="1"/>
                <w:color w:val="auto"/>
              </w:rPr>
            </w:pPr>
          </w:p>
        </w:tc>
      </w:tr>
      <w:tr>
        <w:trPr>
          <w:trHeight w:val="113"/>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400" w:type="dxa"/>
            <w:vAlign w:val="bottom"/>
            <w:vMerge w:val="continue"/>
          </w:tcPr>
          <w:p>
            <w:pPr>
              <w:spacing w:after="0"/>
              <w:rPr>
                <w:sz w:val="9"/>
                <w:szCs w:val="9"/>
                <w:color w:val="auto"/>
              </w:rPr>
            </w:pPr>
          </w:p>
        </w:tc>
        <w:tc>
          <w:tcPr>
            <w:tcW w:w="3960" w:type="dxa"/>
            <w:vAlign w:val="bottom"/>
            <w:vMerge w:val="continue"/>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1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Reporting</w:t>
            </w:r>
          </w:p>
        </w:tc>
        <w:tc>
          <w:tcPr>
            <w:tcW w:w="4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5"/>
              </w:rPr>
              <w:t>(7)</w:t>
            </w:r>
          </w:p>
        </w:tc>
        <w:tc>
          <w:tcPr>
            <w:tcW w:w="3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With</w:t>
            </w:r>
          </w:p>
        </w:tc>
        <w:tc>
          <w:tcPr>
            <w:tcW w:w="400" w:type="dxa"/>
            <w:vAlign w:val="bottom"/>
            <w:vMerge w:val="continue"/>
          </w:tcPr>
          <w:p>
            <w:pPr>
              <w:spacing w:after="0"/>
              <w:rPr>
                <w:sz w:val="20"/>
                <w:szCs w:val="20"/>
                <w:color w:val="auto"/>
              </w:rPr>
            </w:pPr>
          </w:p>
        </w:tc>
        <w:tc>
          <w:tcPr>
            <w:tcW w:w="3960" w:type="dxa"/>
            <w:vAlign w:val="bottom"/>
            <w:vMerge w:val="continue"/>
          </w:tcPr>
          <w:p>
            <w:pPr>
              <w:spacing w:after="0"/>
              <w:rPr>
                <w:sz w:val="20"/>
                <w:szCs w:val="20"/>
                <w:color w:val="auto"/>
              </w:rPr>
            </w:pPr>
          </w:p>
        </w:tc>
        <w:tc>
          <w:tcPr>
            <w:tcW w:w="2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14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(8)</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2,229,049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800" w:right="5640" w:hanging="792"/>
        <w:spacing w:after="0" w:line="563" w:lineRule="auto"/>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2,229,049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spacing w:after="0"/>
        <w:tabs>
          <w:tab w:leader="none" w:pos="780" w:val="left"/>
          <w:tab w:leader="none" w:pos="10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00" w:right="6640" w:hanging="792"/>
        <w:spacing w:after="0" w:line="467"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6.59%</w:t>
      </w:r>
      <w:r>
        <w:rPr>
          <w:rFonts w:ascii="Times New Roman" w:cs="Times New Roman" w:eastAsia="Times New Roman" w:hAnsi="Times New Roman"/>
          <w:sz w:val="29"/>
          <w:szCs w:val="29"/>
          <w:color w:val="auto"/>
          <w:vertAlign w:val="superscript"/>
        </w:rPr>
        <w:t>2</w:t>
      </w:r>
    </w:p>
    <w:p>
      <w:pPr>
        <w:spacing w:after="0" w:line="136" w:lineRule="exact"/>
        <w:rPr>
          <w:rFonts w:ascii="Times New Roman" w:cs="Times New Roman" w:eastAsia="Times New Roman" w:hAnsi="Times New Roman"/>
          <w:sz w:val="18"/>
          <w:szCs w:val="18"/>
          <w:color w:val="auto"/>
        </w:rPr>
      </w:pPr>
    </w:p>
    <w:p>
      <w:pPr>
        <w:ind w:left="800" w:right="7300" w:hanging="792"/>
        <w:spacing w:after="0" w:line="563"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-749935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50" w:lineRule="exact"/>
        <w:rPr>
          <w:sz w:val="20"/>
          <w:szCs w:val="20"/>
          <w:color w:val="auto"/>
        </w:rPr>
      </w:pPr>
    </w:p>
    <w:p>
      <w:pPr>
        <w:jc w:val="both"/>
        <w:ind w:firstLine="8"/>
        <w:spacing w:after="0" w:line="210" w:lineRule="auto"/>
        <w:tabs>
          <w:tab w:leader="none" w:pos="139"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upon 33,808,636 shares of Common Stock, par value $0.01 per share (“Common Stock”), of Affiliated Managers Group, Inc. (the “Issuer”) outstanding as of November 2, 2023, as reported in the Issuer’s quarterly report on Form 10-Q filed with the Securities and Exchange Commission on November 6, 2023</w:t>
      </w:r>
    </w:p>
    <w:p>
      <w:pPr>
        <w:sectPr>
          <w:pgSz w:w="11900" w:h="16838" w:orient="portrait"/>
          <w:cols w:equalWidth="0" w:num="1">
            <w:col w:w="11240"/>
          </w:cols>
          <w:pgMar w:left="320" w:top="684" w:right="339" w:bottom="1440" w:gutter="0" w:footer="0" w:header="0"/>
        </w:sectPr>
      </w:pPr>
    </w:p>
    <w:bookmarkStart w:id="3" w:name="page4"/>
    <w:bookmarkEnd w:id="3"/>
    <w:p>
      <w:pPr>
        <w:spacing w:after="0"/>
        <w:tabs>
          <w:tab w:leader="none" w:pos="3860" w:val="left"/>
          <w:tab w:leader="none" w:pos="10320" w:val="left"/>
        </w:tabs>
        <w:rPr>
          <w:sz w:val="20"/>
          <w:szCs w:val="20"/>
          <w:color w:val="auto"/>
        </w:rPr>
      </w:pPr>
      <w:r>
        <w:rPr>
          <w:rFonts w:ascii="Times New Roman" w:cs="Times New Roman" w:eastAsia="Times New Roman" w:hAnsi="Times New Roman"/>
          <w:sz w:val="18"/>
          <w:szCs w:val="18"/>
          <w:b w:val="1"/>
          <w:bCs w:val="1"/>
          <w:color w:val="auto"/>
        </w:rPr>
        <w:t>CUSIP No. 008252108</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color w:val="auto"/>
        </w:rPr>
        <w:t>Page 4 of 13</w:t>
      </w:r>
    </w:p>
    <w:p>
      <w:pPr>
        <w:spacing w:after="0" w:line="229" w:lineRule="exact"/>
        <w:rPr>
          <w:sz w:val="20"/>
          <w:szCs w:val="20"/>
          <w:color w:val="auto"/>
        </w:rPr>
      </w:pPr>
    </w:p>
    <w:p>
      <w:pPr>
        <w:ind w:left="800" w:right="8380" w:hanging="792"/>
        <w:spacing w:after="0" w:line="611" w:lineRule="auto"/>
        <w:tabs>
          <w:tab w:leader="none" w:pos="8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Modell Capital LLC</w:t>
      </w:r>
    </w:p>
    <w:p>
      <w:pPr>
        <w:spacing w:after="0" w:line="179" w:lineRule="exact"/>
        <w:rPr>
          <w:rFonts w:ascii="Times New Roman" w:cs="Times New Roman" w:eastAsia="Times New Roman" w:hAnsi="Times New Roman"/>
          <w:sz w:val="17"/>
          <w:szCs w:val="17"/>
          <w:color w:val="auto"/>
        </w:rPr>
      </w:pPr>
    </w:p>
    <w:p>
      <w:pPr>
        <w:ind w:left="800" w:hanging="792"/>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8780"/>
        <w:spacing w:after="0"/>
        <w:tabs>
          <w:tab w:leader="none" w:pos="95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  ]</w:t>
      </w:r>
    </w:p>
    <w:p>
      <w:pPr>
        <w:spacing w:after="0" w:line="18" w:lineRule="exact"/>
        <w:rPr>
          <w:sz w:val="20"/>
          <w:szCs w:val="20"/>
          <w:color w:val="auto"/>
        </w:rPr>
      </w:pPr>
    </w:p>
    <w:p>
      <w:pPr>
        <w:ind w:left="8780"/>
        <w:spacing w:after="0"/>
        <w:tabs>
          <w:tab w:leader="none" w:pos="95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00" w:hanging="792"/>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right="7820" w:hanging="792"/>
        <w:spacing w:after="0" w:line="611" w:lineRule="auto"/>
        <w:tabs>
          <w:tab w:leader="none" w:pos="8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Michigan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-765175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(5)</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31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5"/>
              </w:rPr>
              <w:t>(6)</w:t>
            </w:r>
          </w:p>
        </w:tc>
        <w:tc>
          <w:tcPr>
            <w:tcW w:w="3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2,130,651</w:t>
            </w:r>
          </w:p>
        </w:tc>
        <w:tc>
          <w:tcPr>
            <w:tcW w:w="0" w:type="dxa"/>
            <w:vAlign w:val="bottom"/>
          </w:tcPr>
          <w:p>
            <w:pPr>
              <w:spacing w:after="0"/>
              <w:rPr>
                <w:sz w:val="1"/>
                <w:szCs w:val="1"/>
                <w:color w:val="auto"/>
              </w:rPr>
            </w:pPr>
          </w:p>
        </w:tc>
      </w:tr>
      <w:tr>
        <w:trPr>
          <w:trHeight w:val="113"/>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400" w:type="dxa"/>
            <w:vAlign w:val="bottom"/>
            <w:vMerge w:val="continue"/>
          </w:tcPr>
          <w:p>
            <w:pPr>
              <w:spacing w:after="0"/>
              <w:rPr>
                <w:sz w:val="9"/>
                <w:szCs w:val="9"/>
                <w:color w:val="auto"/>
              </w:rPr>
            </w:pPr>
          </w:p>
        </w:tc>
        <w:tc>
          <w:tcPr>
            <w:tcW w:w="3960" w:type="dxa"/>
            <w:vAlign w:val="bottom"/>
            <w:vMerge w:val="continue"/>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1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Reporting</w:t>
            </w:r>
          </w:p>
        </w:tc>
        <w:tc>
          <w:tcPr>
            <w:tcW w:w="4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5"/>
              </w:rPr>
              <w:t>(7)</w:t>
            </w:r>
          </w:p>
        </w:tc>
        <w:tc>
          <w:tcPr>
            <w:tcW w:w="3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With</w:t>
            </w:r>
          </w:p>
        </w:tc>
        <w:tc>
          <w:tcPr>
            <w:tcW w:w="400" w:type="dxa"/>
            <w:vAlign w:val="bottom"/>
            <w:vMerge w:val="continue"/>
          </w:tcPr>
          <w:p>
            <w:pPr>
              <w:spacing w:after="0"/>
              <w:rPr>
                <w:sz w:val="20"/>
                <w:szCs w:val="20"/>
                <w:color w:val="auto"/>
              </w:rPr>
            </w:pPr>
          </w:p>
        </w:tc>
        <w:tc>
          <w:tcPr>
            <w:tcW w:w="3960" w:type="dxa"/>
            <w:vAlign w:val="bottom"/>
            <w:vMerge w:val="continue"/>
          </w:tcPr>
          <w:p>
            <w:pPr>
              <w:spacing w:after="0"/>
              <w:rPr>
                <w:sz w:val="20"/>
                <w:szCs w:val="20"/>
                <w:color w:val="auto"/>
              </w:rPr>
            </w:pPr>
          </w:p>
        </w:tc>
        <w:tc>
          <w:tcPr>
            <w:tcW w:w="2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14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(8)</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2,229,049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800" w:right="5640" w:hanging="792"/>
        <w:spacing w:after="0" w:line="563"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2,229,049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p>
      <w:pPr>
        <w:spacing w:after="0"/>
        <w:tabs>
          <w:tab w:leader="none" w:pos="780" w:val="left"/>
          <w:tab w:leader="none" w:pos="10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00" w:right="6640" w:hanging="792"/>
        <w:spacing w:after="0" w:line="467"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6.59%</w:t>
      </w:r>
      <w:r>
        <w:rPr>
          <w:rFonts w:ascii="Times New Roman" w:cs="Times New Roman" w:eastAsia="Times New Roman" w:hAnsi="Times New Roman"/>
          <w:sz w:val="29"/>
          <w:szCs w:val="29"/>
          <w:color w:val="auto"/>
          <w:vertAlign w:val="superscript"/>
        </w:rPr>
        <w:t>3</w:t>
      </w:r>
    </w:p>
    <w:p>
      <w:pPr>
        <w:spacing w:after="0" w:line="136" w:lineRule="exact"/>
        <w:rPr>
          <w:rFonts w:ascii="Times New Roman" w:cs="Times New Roman" w:eastAsia="Times New Roman" w:hAnsi="Times New Roman"/>
          <w:sz w:val="18"/>
          <w:szCs w:val="18"/>
          <w:color w:val="auto"/>
        </w:rPr>
      </w:pPr>
    </w:p>
    <w:p>
      <w:pPr>
        <w:ind w:left="800" w:right="7300" w:hanging="792"/>
        <w:spacing w:after="0" w:line="563"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-749935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50" w:lineRule="exact"/>
        <w:rPr>
          <w:sz w:val="20"/>
          <w:szCs w:val="20"/>
          <w:color w:val="auto"/>
        </w:rPr>
      </w:pPr>
    </w:p>
    <w:p>
      <w:pPr>
        <w:jc w:val="both"/>
        <w:ind w:firstLine="8"/>
        <w:spacing w:after="0" w:line="210" w:lineRule="auto"/>
        <w:tabs>
          <w:tab w:leader="none" w:pos="139"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upon 33,808,636 shares of Common Stock, par value $0.01 per share (“Common Stock”), of Affiliated Managers Group, Inc. (the “Issuer”) outstanding as of November 2, 2023, as reported in the Issuer’s quarterly report on Form 10-Q filed with the Securities and Exchange Commission on November 6, 2023</w:t>
      </w:r>
    </w:p>
    <w:p>
      <w:pPr>
        <w:sectPr>
          <w:pgSz w:w="11900" w:h="16838" w:orient="portrait"/>
          <w:cols w:equalWidth="0" w:num="1">
            <w:col w:w="11240"/>
          </w:cols>
          <w:pgMar w:left="320" w:top="468" w:right="339" w:bottom="1440" w:gutter="0" w:footer="0" w:header="0"/>
        </w:sectPr>
      </w:pPr>
    </w:p>
    <w:bookmarkStart w:id="4" w:name="page5"/>
    <w:bookmarkEnd w:id="4"/>
    <w:p>
      <w:pPr>
        <w:spacing w:after="0"/>
        <w:tabs>
          <w:tab w:leader="none" w:pos="3860" w:val="left"/>
          <w:tab w:leader="none" w:pos="10320" w:val="left"/>
        </w:tabs>
        <w:rPr>
          <w:sz w:val="20"/>
          <w:szCs w:val="20"/>
          <w:color w:val="auto"/>
        </w:rPr>
      </w:pPr>
      <w:r>
        <w:rPr>
          <w:rFonts w:ascii="Times New Roman" w:cs="Times New Roman" w:eastAsia="Times New Roman" w:hAnsi="Times New Roman"/>
          <w:sz w:val="18"/>
          <w:szCs w:val="18"/>
          <w:b w:val="1"/>
          <w:bCs w:val="1"/>
          <w:color w:val="auto"/>
        </w:rPr>
        <w:t>CUSIP No. 008252108</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color w:val="auto"/>
        </w:rPr>
        <w:t>Page 5 of 13</w:t>
      </w:r>
    </w:p>
    <w:p>
      <w:pPr>
        <w:spacing w:after="0" w:line="229" w:lineRule="exact"/>
        <w:rPr>
          <w:sz w:val="20"/>
          <w:szCs w:val="20"/>
          <w:color w:val="auto"/>
        </w:rPr>
      </w:pPr>
    </w:p>
    <w:p>
      <w:pPr>
        <w:ind w:left="800" w:right="8380" w:hanging="792"/>
        <w:spacing w:after="0" w:line="563"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Jeffrey A. Hakala</w:t>
      </w:r>
    </w:p>
    <w:p>
      <w:pPr>
        <w:spacing w:after="0" w:line="203"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8780"/>
        <w:spacing w:after="0"/>
        <w:tabs>
          <w:tab w:leader="none" w:pos="95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  ]</w:t>
      </w:r>
    </w:p>
    <w:p>
      <w:pPr>
        <w:spacing w:after="0" w:line="18" w:lineRule="exact"/>
        <w:rPr>
          <w:sz w:val="20"/>
          <w:szCs w:val="20"/>
          <w:color w:val="auto"/>
        </w:rPr>
      </w:pPr>
    </w:p>
    <w:p>
      <w:pPr>
        <w:ind w:left="8780"/>
        <w:spacing w:after="0"/>
        <w:tabs>
          <w:tab w:leader="none" w:pos="95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00" w:hanging="792"/>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right="7820" w:hanging="792"/>
        <w:spacing w:after="0" w:line="611" w:lineRule="auto"/>
        <w:tabs>
          <w:tab w:leader="none" w:pos="8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-765175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(5)</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31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5"/>
              </w:rPr>
              <w:t>(6)</w:t>
            </w:r>
          </w:p>
        </w:tc>
        <w:tc>
          <w:tcPr>
            <w:tcW w:w="3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2,130,651</w:t>
            </w:r>
          </w:p>
        </w:tc>
        <w:tc>
          <w:tcPr>
            <w:tcW w:w="0" w:type="dxa"/>
            <w:vAlign w:val="bottom"/>
          </w:tcPr>
          <w:p>
            <w:pPr>
              <w:spacing w:after="0"/>
              <w:rPr>
                <w:sz w:val="1"/>
                <w:szCs w:val="1"/>
                <w:color w:val="auto"/>
              </w:rPr>
            </w:pPr>
          </w:p>
        </w:tc>
      </w:tr>
      <w:tr>
        <w:trPr>
          <w:trHeight w:val="113"/>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400" w:type="dxa"/>
            <w:vAlign w:val="bottom"/>
            <w:vMerge w:val="continue"/>
          </w:tcPr>
          <w:p>
            <w:pPr>
              <w:spacing w:after="0"/>
              <w:rPr>
                <w:sz w:val="9"/>
                <w:szCs w:val="9"/>
                <w:color w:val="auto"/>
              </w:rPr>
            </w:pPr>
          </w:p>
        </w:tc>
        <w:tc>
          <w:tcPr>
            <w:tcW w:w="3960" w:type="dxa"/>
            <w:vAlign w:val="bottom"/>
            <w:vMerge w:val="continue"/>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1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Reporting</w:t>
            </w:r>
          </w:p>
        </w:tc>
        <w:tc>
          <w:tcPr>
            <w:tcW w:w="4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5"/>
              </w:rPr>
              <w:t>(7)</w:t>
            </w:r>
          </w:p>
        </w:tc>
        <w:tc>
          <w:tcPr>
            <w:tcW w:w="3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With</w:t>
            </w:r>
          </w:p>
        </w:tc>
        <w:tc>
          <w:tcPr>
            <w:tcW w:w="400" w:type="dxa"/>
            <w:vAlign w:val="bottom"/>
            <w:vMerge w:val="continue"/>
          </w:tcPr>
          <w:p>
            <w:pPr>
              <w:spacing w:after="0"/>
              <w:rPr>
                <w:sz w:val="20"/>
                <w:szCs w:val="20"/>
                <w:color w:val="auto"/>
              </w:rPr>
            </w:pPr>
          </w:p>
        </w:tc>
        <w:tc>
          <w:tcPr>
            <w:tcW w:w="3960" w:type="dxa"/>
            <w:vAlign w:val="bottom"/>
            <w:vMerge w:val="continue"/>
          </w:tcPr>
          <w:p>
            <w:pPr>
              <w:spacing w:after="0"/>
              <w:rPr>
                <w:sz w:val="20"/>
                <w:szCs w:val="20"/>
                <w:color w:val="auto"/>
              </w:rPr>
            </w:pPr>
          </w:p>
        </w:tc>
        <w:tc>
          <w:tcPr>
            <w:tcW w:w="2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14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(8)</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2,229,049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800" w:right="5640" w:hanging="792"/>
        <w:spacing w:after="0" w:line="563"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2,229,049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spacing w:after="0"/>
        <w:tabs>
          <w:tab w:leader="none" w:pos="780" w:val="left"/>
          <w:tab w:leader="none" w:pos="10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00" w:right="6640" w:hanging="792"/>
        <w:spacing w:after="0" w:line="467" w:lineRule="auto"/>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6.59%</w:t>
      </w:r>
      <w:r>
        <w:rPr>
          <w:rFonts w:ascii="Times New Roman" w:cs="Times New Roman" w:eastAsia="Times New Roman" w:hAnsi="Times New Roman"/>
          <w:sz w:val="29"/>
          <w:szCs w:val="29"/>
          <w:color w:val="auto"/>
          <w:vertAlign w:val="superscript"/>
        </w:rPr>
        <w:t>4</w:t>
      </w:r>
    </w:p>
    <w:p>
      <w:pPr>
        <w:spacing w:after="0" w:line="136" w:lineRule="exact"/>
        <w:rPr>
          <w:rFonts w:ascii="Times New Roman" w:cs="Times New Roman" w:eastAsia="Times New Roman" w:hAnsi="Times New Roman"/>
          <w:sz w:val="18"/>
          <w:szCs w:val="18"/>
          <w:color w:val="auto"/>
        </w:rPr>
      </w:pPr>
    </w:p>
    <w:p>
      <w:pPr>
        <w:ind w:left="800" w:right="7300" w:hanging="792"/>
        <w:spacing w:after="0" w:line="563" w:lineRule="auto"/>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-749935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50" w:lineRule="exact"/>
        <w:rPr>
          <w:sz w:val="20"/>
          <w:szCs w:val="20"/>
          <w:color w:val="auto"/>
        </w:rPr>
      </w:pPr>
    </w:p>
    <w:p>
      <w:pPr>
        <w:ind w:right="440" w:firstLine="8"/>
        <w:spacing w:after="0" w:line="210" w:lineRule="auto"/>
        <w:tabs>
          <w:tab w:leader="none" w:pos="12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upon 33,808,636 shares of Common Stock, par value $0.01 per share (“Common Stock”), of Affiliated Managers Group, Inc. (the “Issuer”) outstanding as of November 2, 2023, as reported in the Issuer’s quarterly report on Form 10-Q filed with the Securities and Exchange Commission on November 6, 2023</w:t>
      </w:r>
    </w:p>
    <w:p>
      <w:pPr>
        <w:sectPr>
          <w:pgSz w:w="11900" w:h="16838" w:orient="portrait"/>
          <w:cols w:equalWidth="0" w:num="1">
            <w:col w:w="11240"/>
          </w:cols>
          <w:pgMar w:left="320" w:top="684" w:right="339" w:bottom="1440" w:gutter="0" w:footer="0" w:header="0"/>
        </w:sectPr>
      </w:pPr>
    </w:p>
    <w:bookmarkStart w:id="5" w:name="page6"/>
    <w:bookmarkEnd w:id="5"/>
    <w:p>
      <w:pPr>
        <w:spacing w:after="0"/>
        <w:tabs>
          <w:tab w:leader="none" w:pos="3860" w:val="left"/>
          <w:tab w:leader="none" w:pos="10320" w:val="left"/>
        </w:tabs>
        <w:rPr>
          <w:sz w:val="20"/>
          <w:szCs w:val="20"/>
          <w:color w:val="auto"/>
        </w:rPr>
      </w:pPr>
      <w:r>
        <w:rPr>
          <w:rFonts w:ascii="Times New Roman" w:cs="Times New Roman" w:eastAsia="Times New Roman" w:hAnsi="Times New Roman"/>
          <w:sz w:val="18"/>
          <w:szCs w:val="18"/>
          <w:b w:val="1"/>
          <w:bCs w:val="1"/>
          <w:color w:val="auto"/>
        </w:rPr>
        <w:t>CUSIP No. 008252108</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color w:val="auto"/>
        </w:rPr>
        <w:t>Page 6 of 13</w:t>
      </w:r>
    </w:p>
    <w:p>
      <w:pPr>
        <w:spacing w:after="0" w:line="229" w:lineRule="exact"/>
        <w:rPr>
          <w:sz w:val="20"/>
          <w:szCs w:val="20"/>
          <w:color w:val="auto"/>
        </w:rPr>
      </w:pPr>
    </w:p>
    <w:p>
      <w:pPr>
        <w:ind w:left="800" w:right="8380" w:hanging="792"/>
        <w:spacing w:after="0" w:line="563"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Gerald W. Hakala</w:t>
      </w:r>
    </w:p>
    <w:p>
      <w:pPr>
        <w:spacing w:after="0" w:line="203"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8780"/>
        <w:spacing w:after="0"/>
        <w:tabs>
          <w:tab w:leader="none" w:pos="95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  ]</w:t>
      </w:r>
    </w:p>
    <w:p>
      <w:pPr>
        <w:spacing w:after="0" w:line="18" w:lineRule="exact"/>
        <w:rPr>
          <w:sz w:val="20"/>
          <w:szCs w:val="20"/>
          <w:color w:val="auto"/>
        </w:rPr>
      </w:pPr>
    </w:p>
    <w:p>
      <w:pPr>
        <w:ind w:left="8780"/>
        <w:spacing w:after="0"/>
        <w:tabs>
          <w:tab w:leader="none" w:pos="95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00" w:hanging="792"/>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right="7820" w:hanging="792"/>
        <w:spacing w:after="0" w:line="611" w:lineRule="auto"/>
        <w:tabs>
          <w:tab w:leader="none" w:pos="8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-765175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(5)</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31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5"/>
              </w:rPr>
              <w:t>(6)</w:t>
            </w:r>
          </w:p>
        </w:tc>
        <w:tc>
          <w:tcPr>
            <w:tcW w:w="3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2,130,651</w:t>
            </w:r>
          </w:p>
        </w:tc>
        <w:tc>
          <w:tcPr>
            <w:tcW w:w="0" w:type="dxa"/>
            <w:vAlign w:val="bottom"/>
          </w:tcPr>
          <w:p>
            <w:pPr>
              <w:spacing w:after="0"/>
              <w:rPr>
                <w:sz w:val="1"/>
                <w:szCs w:val="1"/>
                <w:color w:val="auto"/>
              </w:rPr>
            </w:pPr>
          </w:p>
        </w:tc>
      </w:tr>
      <w:tr>
        <w:trPr>
          <w:trHeight w:val="113"/>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400" w:type="dxa"/>
            <w:vAlign w:val="bottom"/>
            <w:vMerge w:val="continue"/>
          </w:tcPr>
          <w:p>
            <w:pPr>
              <w:spacing w:after="0"/>
              <w:rPr>
                <w:sz w:val="9"/>
                <w:szCs w:val="9"/>
                <w:color w:val="auto"/>
              </w:rPr>
            </w:pPr>
          </w:p>
        </w:tc>
        <w:tc>
          <w:tcPr>
            <w:tcW w:w="3960" w:type="dxa"/>
            <w:vAlign w:val="bottom"/>
            <w:vMerge w:val="continue"/>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1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Reporting</w:t>
            </w:r>
          </w:p>
        </w:tc>
        <w:tc>
          <w:tcPr>
            <w:tcW w:w="4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5"/>
              </w:rPr>
              <w:t>(7)</w:t>
            </w:r>
          </w:p>
        </w:tc>
        <w:tc>
          <w:tcPr>
            <w:tcW w:w="3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With</w:t>
            </w:r>
          </w:p>
        </w:tc>
        <w:tc>
          <w:tcPr>
            <w:tcW w:w="400" w:type="dxa"/>
            <w:vAlign w:val="bottom"/>
            <w:vMerge w:val="continue"/>
          </w:tcPr>
          <w:p>
            <w:pPr>
              <w:spacing w:after="0"/>
              <w:rPr>
                <w:sz w:val="20"/>
                <w:szCs w:val="20"/>
                <w:color w:val="auto"/>
              </w:rPr>
            </w:pPr>
          </w:p>
        </w:tc>
        <w:tc>
          <w:tcPr>
            <w:tcW w:w="3960" w:type="dxa"/>
            <w:vAlign w:val="bottom"/>
            <w:vMerge w:val="continue"/>
          </w:tcPr>
          <w:p>
            <w:pPr>
              <w:spacing w:after="0"/>
              <w:rPr>
                <w:sz w:val="20"/>
                <w:szCs w:val="20"/>
                <w:color w:val="auto"/>
              </w:rPr>
            </w:pPr>
          </w:p>
        </w:tc>
        <w:tc>
          <w:tcPr>
            <w:tcW w:w="2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14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(8)</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2,229,049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800" w:right="5640" w:hanging="792"/>
        <w:spacing w:after="0" w:line="563" w:lineRule="auto"/>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2,229,049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spacing w:after="0"/>
        <w:tabs>
          <w:tab w:leader="none" w:pos="780" w:val="left"/>
          <w:tab w:leader="none" w:pos="10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00" w:right="6640" w:hanging="792"/>
        <w:spacing w:after="0" w:line="467"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6.59%</w:t>
      </w:r>
      <w:r>
        <w:rPr>
          <w:rFonts w:ascii="Times New Roman" w:cs="Times New Roman" w:eastAsia="Times New Roman" w:hAnsi="Times New Roman"/>
          <w:sz w:val="29"/>
          <w:szCs w:val="29"/>
          <w:color w:val="auto"/>
          <w:vertAlign w:val="superscript"/>
        </w:rPr>
        <w:t>5</w:t>
      </w:r>
    </w:p>
    <w:p>
      <w:pPr>
        <w:spacing w:after="0" w:line="136" w:lineRule="exact"/>
        <w:rPr>
          <w:rFonts w:ascii="Times New Roman" w:cs="Times New Roman" w:eastAsia="Times New Roman" w:hAnsi="Times New Roman"/>
          <w:sz w:val="18"/>
          <w:szCs w:val="18"/>
          <w:color w:val="auto"/>
        </w:rPr>
      </w:pPr>
    </w:p>
    <w:p>
      <w:pPr>
        <w:ind w:left="800" w:right="7300" w:hanging="792"/>
        <w:spacing w:after="0" w:line="563"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-749935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50" w:lineRule="exact"/>
        <w:rPr>
          <w:sz w:val="20"/>
          <w:szCs w:val="20"/>
          <w:color w:val="auto"/>
        </w:rPr>
      </w:pPr>
    </w:p>
    <w:p>
      <w:pPr>
        <w:ind w:right="440" w:firstLine="8"/>
        <w:spacing w:after="0" w:line="210" w:lineRule="auto"/>
        <w:tabs>
          <w:tab w:leader="none" w:pos="12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upon 33,808,636 shares of Common Stock, par value $0.01 per share (“Common Stock”), of Affiliated Managers Group, Inc. (the “Issuer”) outstanding as of November 2, 2023, as reported in the Issuer’s quarterly report on Form 10-Q filed with the Securities and Exchange Commission on November 6, 2023</w:t>
      </w:r>
    </w:p>
    <w:p>
      <w:pPr>
        <w:sectPr>
          <w:pgSz w:w="11900" w:h="16838" w:orient="portrait"/>
          <w:cols w:equalWidth="0" w:num="1">
            <w:col w:w="11240"/>
          </w:cols>
          <w:pgMar w:left="320" w:top="684" w:right="339" w:bottom="1440" w:gutter="0" w:footer="0" w:header="0"/>
        </w:sectPr>
      </w:pPr>
    </w:p>
    <w:bookmarkStart w:id="6" w:name="page7"/>
    <w:bookmarkEnd w:id="6"/>
    <w:p>
      <w:pPr>
        <w:spacing w:after="0"/>
        <w:tabs>
          <w:tab w:leader="none" w:pos="3860" w:val="left"/>
          <w:tab w:leader="none" w:pos="10320" w:val="left"/>
        </w:tabs>
        <w:rPr>
          <w:sz w:val="20"/>
          <w:szCs w:val="20"/>
          <w:color w:val="auto"/>
        </w:rPr>
      </w:pPr>
      <w:r>
        <w:rPr>
          <w:rFonts w:ascii="Times New Roman" w:cs="Times New Roman" w:eastAsia="Times New Roman" w:hAnsi="Times New Roman"/>
          <w:sz w:val="18"/>
          <w:szCs w:val="18"/>
          <w:b w:val="1"/>
          <w:bCs w:val="1"/>
          <w:color w:val="auto"/>
        </w:rPr>
        <w:t>CUSIP No. 008252108</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color w:val="auto"/>
        </w:rPr>
        <w:t>Page 7 of 13</w:t>
      </w:r>
    </w:p>
    <w:p>
      <w:pPr>
        <w:spacing w:after="0" w:line="229" w:lineRule="exact"/>
        <w:rPr>
          <w:sz w:val="20"/>
          <w:szCs w:val="20"/>
          <w:color w:val="auto"/>
        </w:rPr>
      </w:pPr>
    </w:p>
    <w:p>
      <w:pPr>
        <w:ind w:left="800" w:right="8380" w:hanging="792"/>
        <w:spacing w:after="0" w:line="563" w:lineRule="auto"/>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Jeremy J. Modell</w:t>
      </w:r>
    </w:p>
    <w:p>
      <w:pPr>
        <w:spacing w:after="0" w:line="203"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8780"/>
        <w:spacing w:after="0"/>
        <w:tabs>
          <w:tab w:leader="none" w:pos="95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  ]</w:t>
      </w:r>
    </w:p>
    <w:p>
      <w:pPr>
        <w:spacing w:after="0" w:line="18" w:lineRule="exact"/>
        <w:rPr>
          <w:sz w:val="20"/>
          <w:szCs w:val="20"/>
          <w:color w:val="auto"/>
        </w:rPr>
      </w:pPr>
    </w:p>
    <w:p>
      <w:pPr>
        <w:ind w:left="8780"/>
        <w:spacing w:after="0"/>
        <w:tabs>
          <w:tab w:leader="none" w:pos="95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00" w:hanging="792"/>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right="7820" w:hanging="792"/>
        <w:spacing w:after="0" w:line="611" w:lineRule="auto"/>
        <w:tabs>
          <w:tab w:leader="none" w:pos="8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-765175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(5)</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31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5"/>
              </w:rPr>
              <w:t>(6)</w:t>
            </w:r>
          </w:p>
        </w:tc>
        <w:tc>
          <w:tcPr>
            <w:tcW w:w="3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2,130,651</w:t>
            </w:r>
          </w:p>
        </w:tc>
        <w:tc>
          <w:tcPr>
            <w:tcW w:w="0" w:type="dxa"/>
            <w:vAlign w:val="bottom"/>
          </w:tcPr>
          <w:p>
            <w:pPr>
              <w:spacing w:after="0"/>
              <w:rPr>
                <w:sz w:val="1"/>
                <w:szCs w:val="1"/>
                <w:color w:val="auto"/>
              </w:rPr>
            </w:pPr>
          </w:p>
        </w:tc>
      </w:tr>
      <w:tr>
        <w:trPr>
          <w:trHeight w:val="113"/>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400" w:type="dxa"/>
            <w:vAlign w:val="bottom"/>
            <w:vMerge w:val="continue"/>
          </w:tcPr>
          <w:p>
            <w:pPr>
              <w:spacing w:after="0"/>
              <w:rPr>
                <w:sz w:val="9"/>
                <w:szCs w:val="9"/>
                <w:color w:val="auto"/>
              </w:rPr>
            </w:pPr>
          </w:p>
        </w:tc>
        <w:tc>
          <w:tcPr>
            <w:tcW w:w="3960" w:type="dxa"/>
            <w:vAlign w:val="bottom"/>
            <w:vMerge w:val="continue"/>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1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Reporting</w:t>
            </w:r>
          </w:p>
        </w:tc>
        <w:tc>
          <w:tcPr>
            <w:tcW w:w="4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5"/>
              </w:rPr>
              <w:t>(7)</w:t>
            </w:r>
          </w:p>
        </w:tc>
        <w:tc>
          <w:tcPr>
            <w:tcW w:w="3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With</w:t>
            </w:r>
          </w:p>
        </w:tc>
        <w:tc>
          <w:tcPr>
            <w:tcW w:w="400" w:type="dxa"/>
            <w:vAlign w:val="bottom"/>
            <w:vMerge w:val="continue"/>
          </w:tcPr>
          <w:p>
            <w:pPr>
              <w:spacing w:after="0"/>
              <w:rPr>
                <w:sz w:val="20"/>
                <w:szCs w:val="20"/>
                <w:color w:val="auto"/>
              </w:rPr>
            </w:pPr>
          </w:p>
        </w:tc>
        <w:tc>
          <w:tcPr>
            <w:tcW w:w="3960" w:type="dxa"/>
            <w:vAlign w:val="bottom"/>
            <w:vMerge w:val="continue"/>
          </w:tcPr>
          <w:p>
            <w:pPr>
              <w:spacing w:after="0"/>
              <w:rPr>
                <w:sz w:val="20"/>
                <w:szCs w:val="20"/>
                <w:color w:val="auto"/>
              </w:rPr>
            </w:pPr>
          </w:p>
        </w:tc>
        <w:tc>
          <w:tcPr>
            <w:tcW w:w="2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14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(8)</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2,229,049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800" w:right="5640" w:hanging="792"/>
        <w:spacing w:after="0" w:line="563"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2,229,049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spacing w:after="0"/>
        <w:tabs>
          <w:tab w:leader="none" w:pos="780" w:val="left"/>
          <w:tab w:leader="none" w:pos="10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00" w:right="6640" w:hanging="792"/>
        <w:spacing w:after="0" w:line="467"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6.59%</w:t>
      </w:r>
      <w:r>
        <w:rPr>
          <w:rFonts w:ascii="Times New Roman" w:cs="Times New Roman" w:eastAsia="Times New Roman" w:hAnsi="Times New Roman"/>
          <w:sz w:val="29"/>
          <w:szCs w:val="29"/>
          <w:color w:val="auto"/>
          <w:vertAlign w:val="superscript"/>
        </w:rPr>
        <w:t>6</w:t>
      </w:r>
    </w:p>
    <w:p>
      <w:pPr>
        <w:spacing w:after="0" w:line="136" w:lineRule="exact"/>
        <w:rPr>
          <w:rFonts w:ascii="Times New Roman" w:cs="Times New Roman" w:eastAsia="Times New Roman" w:hAnsi="Times New Roman"/>
          <w:sz w:val="18"/>
          <w:szCs w:val="18"/>
          <w:color w:val="auto"/>
        </w:rPr>
      </w:pPr>
    </w:p>
    <w:p>
      <w:pPr>
        <w:ind w:left="800" w:right="7300" w:hanging="792"/>
        <w:spacing w:after="0" w:line="563"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-749935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50" w:lineRule="exact"/>
        <w:rPr>
          <w:sz w:val="20"/>
          <w:szCs w:val="20"/>
          <w:color w:val="auto"/>
        </w:rPr>
      </w:pPr>
    </w:p>
    <w:p>
      <w:pPr>
        <w:ind w:right="440" w:firstLine="8"/>
        <w:spacing w:after="0" w:line="210" w:lineRule="auto"/>
        <w:tabs>
          <w:tab w:leader="none" w:pos="12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upon 33,808,636 shares of Common Stock, par value $0.01 per share (“Common Stock”), of Affiliated Managers Group, Inc. (the “Issuer”) outstanding as of November 2, 2023, as reported in the Issuer’s quarterly report on Form 10-Q filed with the Securities and Exchange Commission on November 6, 2023</w:t>
      </w:r>
    </w:p>
    <w:p>
      <w:pPr>
        <w:sectPr>
          <w:pgSz w:w="11900" w:h="16838" w:orient="portrait"/>
          <w:cols w:equalWidth="0" w:num="1">
            <w:col w:w="11240"/>
          </w:cols>
          <w:pgMar w:left="320" w:top="68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459"/>
        </w:trPr>
        <w:tc>
          <w:tcPr>
            <w:tcW w:w="1240" w:type="dxa"/>
            <w:vAlign w:val="bottom"/>
          </w:tcPr>
          <w:p>
            <w:pPr>
              <w:spacing w:after="0"/>
              <w:rPr>
                <w:sz w:val="24"/>
                <w:szCs w:val="24"/>
                <w:color w:val="auto"/>
              </w:rPr>
            </w:pP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Affiliated Managers Group, Inc. (the “Issuer”)</w:t>
            </w:r>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59"/>
        </w:trPr>
        <w:tc>
          <w:tcPr>
            <w:tcW w:w="1240" w:type="dxa"/>
            <w:vAlign w:val="bottom"/>
          </w:tcPr>
          <w:p>
            <w:pPr>
              <w:spacing w:after="0"/>
              <w:rPr>
                <w:sz w:val="24"/>
                <w:szCs w:val="24"/>
                <w:color w:val="auto"/>
              </w:rPr>
            </w:pP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777 South Flagler Drive, West Palm Beach, FL 33401</w:t>
            </w:r>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567"/>
        </w:trPr>
        <w:tc>
          <w:tcPr>
            <w:tcW w:w="1240" w:type="dxa"/>
            <w:vAlign w:val="bottom"/>
          </w:tcPr>
          <w:p>
            <w:pPr>
              <w:spacing w:after="0"/>
              <w:rPr>
                <w:sz w:val="24"/>
                <w:szCs w:val="24"/>
                <w:color w:val="auto"/>
              </w:rPr>
            </w:pP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This Schedule 13G/A is filed jointly pursuant to that certain Joint Filing Agreement filed herewith as Exhibit 99.1 by:</w:t>
            </w:r>
          </w:p>
        </w:tc>
      </w:tr>
      <w:tr>
        <w:trPr>
          <w:trHeight w:val="252"/>
        </w:trPr>
        <w:tc>
          <w:tcPr>
            <w:tcW w:w="124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Clarkston Capital Partners, LLC (“CCP”)</w:t>
            </w:r>
          </w:p>
        </w:tc>
      </w:tr>
      <w:tr>
        <w:trPr>
          <w:trHeight w:val="216"/>
        </w:trPr>
        <w:tc>
          <w:tcPr>
            <w:tcW w:w="124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Clarkston Companies, Inc. (“CC”)</w:t>
            </w:r>
          </w:p>
        </w:tc>
      </w:tr>
      <w:tr>
        <w:trPr>
          <w:trHeight w:val="216"/>
        </w:trPr>
        <w:tc>
          <w:tcPr>
            <w:tcW w:w="124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Modell Capital LLC (“MC”)</w:t>
            </w:r>
          </w:p>
        </w:tc>
      </w:tr>
      <w:tr>
        <w:trPr>
          <w:trHeight w:val="216"/>
        </w:trPr>
        <w:tc>
          <w:tcPr>
            <w:tcW w:w="124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Jeffrey A. Hakala</w:t>
            </w:r>
          </w:p>
        </w:tc>
      </w:tr>
      <w:tr>
        <w:trPr>
          <w:trHeight w:val="216"/>
        </w:trPr>
        <w:tc>
          <w:tcPr>
            <w:tcW w:w="124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Gerald W. Hakala</w:t>
            </w:r>
          </w:p>
        </w:tc>
      </w:tr>
      <w:tr>
        <w:trPr>
          <w:trHeight w:val="234"/>
        </w:trPr>
        <w:tc>
          <w:tcPr>
            <w:tcW w:w="1240" w:type="dxa"/>
            <w:vAlign w:val="bottom"/>
          </w:tcPr>
          <w:p>
            <w:pPr>
              <w:spacing w:after="0"/>
              <w:rPr>
                <w:sz w:val="20"/>
                <w:szCs w:val="20"/>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(6)</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Jeremy J. Modell</w:t>
            </w:r>
          </w:p>
        </w:tc>
      </w:tr>
      <w:tr>
        <w:trPr>
          <w:trHeight w:val="459"/>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459"/>
        </w:trPr>
        <w:tc>
          <w:tcPr>
            <w:tcW w:w="1240" w:type="dxa"/>
            <w:vAlign w:val="bottom"/>
          </w:tcPr>
          <w:p>
            <w:pPr>
              <w:spacing w:after="0"/>
              <w:rPr>
                <w:sz w:val="24"/>
                <w:szCs w:val="24"/>
                <w:color w:val="auto"/>
              </w:rPr>
            </w:pP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91 West Long Lake Road, Bloomfield Hills, MI 48304</w:t>
            </w:r>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41"/>
        </w:trPr>
        <w:tc>
          <w:tcPr>
            <w:tcW w:w="1240" w:type="dxa"/>
            <w:vAlign w:val="bottom"/>
          </w:tcPr>
          <w:p>
            <w:pPr>
              <w:spacing w:after="0"/>
              <w:rPr>
                <w:sz w:val="24"/>
                <w:szCs w:val="24"/>
                <w:color w:val="auto"/>
              </w:rPr>
            </w:pP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CCP and MC are Michigan limited liability companies. CC is a Michigan corporation. Jeffrey A. Hakala, Gerald W. Hakala, and</w:t>
            </w:r>
          </w:p>
        </w:tc>
      </w:tr>
      <w:tr>
        <w:trPr>
          <w:trHeight w:val="234"/>
        </w:trPr>
        <w:tc>
          <w:tcPr>
            <w:tcW w:w="1240" w:type="dxa"/>
            <w:vAlign w:val="bottom"/>
          </w:tcPr>
          <w:p>
            <w:pPr>
              <w:spacing w:after="0"/>
              <w:rPr>
                <w:sz w:val="20"/>
                <w:szCs w:val="20"/>
                <w:color w:val="auto"/>
              </w:rPr>
            </w:pP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Jeremy J. Modell (the “Individual Reporting Persons”) are citizens of the United States of America.</w:t>
            </w:r>
          </w:p>
        </w:tc>
      </w:tr>
      <w:tr>
        <w:trPr>
          <w:trHeight w:val="459"/>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59"/>
        </w:trPr>
        <w:tc>
          <w:tcPr>
            <w:tcW w:w="1240" w:type="dxa"/>
            <w:vAlign w:val="bottom"/>
          </w:tcPr>
          <w:p>
            <w:pPr>
              <w:spacing w:after="0"/>
              <w:rPr>
                <w:sz w:val="24"/>
                <w:szCs w:val="24"/>
                <w:color w:val="auto"/>
              </w:rPr>
            </w:pP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Common Stock, par value $0.01 per share</w:t>
            </w:r>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459"/>
        </w:trPr>
        <w:tc>
          <w:tcPr>
            <w:tcW w:w="1240" w:type="dxa"/>
            <w:vAlign w:val="bottom"/>
          </w:tcPr>
          <w:p>
            <w:pPr>
              <w:spacing w:after="0"/>
              <w:rPr>
                <w:sz w:val="24"/>
                <w:szCs w:val="24"/>
                <w:color w:val="auto"/>
              </w:rPr>
            </w:pPr>
          </w:p>
        </w:tc>
        <w:tc>
          <w:tcPr>
            <w:tcW w:w="9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008252108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8 of 13</w:t>
      </w:r>
    </w:p>
    <w:p>
      <w:pPr>
        <w:sectPr>
          <w:pgSz w:w="11900" w:h="16838" w:orient="portrait"/>
          <w:cols w:equalWidth="0" w:num="1">
            <w:col w:w="11040"/>
          </w:cols>
          <w:pgMar w:left="320" w:top="900" w:right="539" w:bottom="1440" w:gutter="0" w:footer="0" w:header="0"/>
        </w:sectPr>
      </w:pPr>
    </w:p>
    <w:bookmarkStart w:id="8" w:name="page9"/>
    <w:bookmarkEnd w:id="8"/>
    <w:p>
      <w:pPr>
        <w:ind w:left="170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Broker or dealer registered under section 15 of the Act (15 U.S.C. 78o).</w:t>
            </w:r>
          </w:p>
        </w:tc>
      </w:tr>
      <w:tr>
        <w:trPr>
          <w:trHeight w:val="405"/>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Bank as defined in section 3(a)(6) of the Act (15 U.S.C. 78c).</w:t>
            </w:r>
          </w:p>
        </w:tc>
      </w:tr>
      <w:tr>
        <w:trPr>
          <w:trHeight w:val="405"/>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Insurance company as defined in section 3(a)(19) of the Act (15 U.S.C. 78c).</w:t>
            </w:r>
          </w:p>
        </w:tc>
      </w:tr>
      <w:tr>
        <w:trPr>
          <w:trHeight w:val="405"/>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Investment company registered under section 8 of the Investment Company Act of 1940 (15 U.S.C. 80a-8).</w:t>
            </w:r>
          </w:p>
        </w:tc>
      </w:tr>
      <w:tr>
        <w:trPr>
          <w:trHeight w:val="405"/>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8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[X] An investment advisor in accordance with §240.13d-1(b)(1)(ii)(E);</w:t>
            </w:r>
          </w:p>
        </w:tc>
      </w:tr>
      <w:tr>
        <w:trPr>
          <w:trHeight w:val="405"/>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An employee benefit plan or endowment fund in accordance with §240.13d-1(b)(1)(ii)(F);</w:t>
            </w:r>
          </w:p>
        </w:tc>
      </w:tr>
      <w:tr>
        <w:trPr>
          <w:trHeight w:val="405"/>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8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[X] A parent holding company or control person in accordance with §240.13d-1(b)(1)(ii)(G);</w:t>
            </w:r>
          </w:p>
        </w:tc>
      </w:tr>
      <w:tr>
        <w:trPr>
          <w:trHeight w:val="405"/>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 savings association as defined in Section 3(b) of the Federal Deposit Insurance Act (12 U.S.C. 1813);</w:t>
            </w:r>
          </w:p>
        </w:tc>
      </w:tr>
    </w:tbl>
    <w:p>
      <w:pPr>
        <w:spacing w:after="0" w:line="171" w:lineRule="exact"/>
        <w:rPr>
          <w:sz w:val="20"/>
          <w:szCs w:val="20"/>
          <w:color w:val="auto"/>
        </w:rPr>
      </w:pPr>
    </w:p>
    <w:p>
      <w:pPr>
        <w:ind w:left="2380" w:right="20" w:hanging="685"/>
        <w:spacing w:after="0" w:line="282" w:lineRule="auto"/>
        <w:tabs>
          <w:tab w:leader="none" w:pos="20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church plan that is excluded from the definition of an investment company under section 3(c)(14) of the Investment Company Act of 1940 (15 U.S.C. 80a-3);</w:t>
      </w:r>
    </w:p>
    <w:p>
      <w:pPr>
        <w:spacing w:after="0" w:line="134" w:lineRule="exact"/>
        <w:rPr>
          <w:rFonts w:ascii="Times New Roman" w:cs="Times New Roman" w:eastAsia="Times New Roman" w:hAnsi="Times New Roman"/>
          <w:sz w:val="18"/>
          <w:szCs w:val="18"/>
          <w:color w:val="auto"/>
        </w:rPr>
      </w:pPr>
    </w:p>
    <w:p>
      <w:pPr>
        <w:ind w:left="2040" w:hanging="345"/>
        <w:spacing w:after="0"/>
        <w:tabs>
          <w:tab w:leader="none" w:pos="2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non-U.S. institution in accordance with § 240.13d-1(b)(1)(ii)(J);</w:t>
      </w:r>
    </w:p>
    <w:p>
      <w:pPr>
        <w:spacing w:after="0" w:line="198" w:lineRule="exact"/>
        <w:rPr>
          <w:rFonts w:ascii="Times New Roman" w:cs="Times New Roman" w:eastAsia="Times New Roman" w:hAnsi="Times New Roman"/>
          <w:sz w:val="18"/>
          <w:szCs w:val="18"/>
          <w:color w:val="auto"/>
        </w:rPr>
      </w:pPr>
    </w:p>
    <w:p>
      <w:pPr>
        <w:ind w:left="2040" w:hanging="345"/>
        <w:spacing w:after="0"/>
        <w:tabs>
          <w:tab w:leader="none" w:pos="2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Group, in accordance with §240.13d-1(b)(1)(ii)(K).</w:t>
      </w:r>
    </w:p>
    <w:p>
      <w:pPr>
        <w:spacing w:after="0" w:line="20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CCP is an investment adviser. Collectively, the securities reported in this Schedule 13G/A are held in the accounts of CCP’s discretionary clients or in an account over which a control person of CCP has beneficial ownership. The sole members of CCP are CC and MC. The sole owners of CC are Jeffrey A. Hakala and Gerald W. Hakala. The sole member of MC is the Jeremy J. Modell Revocable Living Trust.</w:t>
      </w:r>
    </w:p>
    <w:p>
      <w:pPr>
        <w:spacing w:after="0" w:line="162" w:lineRule="exact"/>
        <w:rPr>
          <w:sz w:val="20"/>
          <w:szCs w:val="20"/>
          <w:color w:val="auto"/>
        </w:rPr>
      </w:pPr>
    </w:p>
    <w:p>
      <w:pPr>
        <w:ind w:left="2380" w:hanging="685"/>
        <w:spacing w:after="0"/>
        <w:tabs>
          <w:tab w:leader="none" w:pos="2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103" w:lineRule="exact"/>
        <w:rPr>
          <w:rFonts w:ascii="Times New Roman" w:cs="Times New Roman" w:eastAsia="Times New Roman" w:hAnsi="Times New Roman"/>
          <w:sz w:val="18"/>
          <w:szCs w:val="18"/>
          <w:color w:val="auto"/>
        </w:rPr>
      </w:pPr>
    </w:p>
    <w:p>
      <w:pPr>
        <w:ind w:left="2380" w:right="3980"/>
        <w:spacing w:after="0" w:line="3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CCP is the beneficial owner of 2,229,049 shares of Common Stock; CC is the beneficial owner of 2,229,049 shares of Common Stock; MC is the beneficial owner of 2,229,049 shares of Common Stock;</w:t>
      </w:r>
    </w:p>
    <w:p>
      <w:pPr>
        <w:spacing w:after="0" w:line="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Jeffrey A. Hakala is the beneficial owner of 2,229,049 shares of Common Stock;</w:t>
      </w:r>
    </w:p>
    <w:p>
      <w:pPr>
        <w:spacing w:after="0" w:line="11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Gerald W. Hakala is the beneficial owner of 2,229,049 shares of Common Stock; and</w:t>
      </w:r>
    </w:p>
    <w:p>
      <w:pPr>
        <w:spacing w:after="0" w:line="6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Jeremy J. Modell is the beneficial owner of 2,229,049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9 of 13</w:t>
      </w:r>
    </w:p>
    <w:p>
      <w:pPr>
        <w:sectPr>
          <w:pgSz w:w="11900" w:h="16838" w:orient="portrait"/>
          <w:cols w:equalWidth="0" w:num="1">
            <w:col w:w="11240"/>
          </w:cols>
          <w:pgMar w:left="320" w:top="468" w:right="339" w:bottom="1440" w:gutter="0" w:footer="0" w:header="0"/>
        </w:sectPr>
      </w:pPr>
    </w:p>
    <w:bookmarkStart w:id="9" w:name="page10"/>
    <w:bookmarkEnd w:id="9"/>
    <w:p>
      <w:pPr>
        <w:ind w:left="1260" w:hanging="685"/>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76"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CCP is the beneficial owner of 6.59% of the outstanding shares of Common Stock;</w:t>
      </w:r>
    </w:p>
    <w:p>
      <w:pPr>
        <w:spacing w:after="0" w:line="90" w:lineRule="exact"/>
        <w:rPr>
          <w:sz w:val="20"/>
          <w:szCs w:val="20"/>
          <w:color w:val="auto"/>
        </w:rPr>
      </w:pPr>
    </w:p>
    <w:p>
      <w:pPr>
        <w:jc w:val="both"/>
        <w:ind w:left="1260" w:right="1859" w:hanging="10"/>
        <w:spacing w:after="0" w:line="348" w:lineRule="auto"/>
        <w:tabs>
          <w:tab w:leader="none" w:pos="154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the beneficial owner of 6.59% of the outstanding shares of Common Stock; MC is the beneficial owner of 6.59% of the outstanding shares of Common Stock;</w:t>
      </w:r>
    </w:p>
    <w:p>
      <w:pPr>
        <w:ind w:left="1260" w:right="919"/>
        <w:spacing w:after="0" w:line="250" w:lineRule="auto"/>
        <w:rPr>
          <w:sz w:val="20"/>
          <w:szCs w:val="20"/>
          <w:color w:val="auto"/>
        </w:rPr>
      </w:pPr>
      <w:r>
        <w:rPr>
          <w:rFonts w:ascii="Times New Roman" w:cs="Times New Roman" w:eastAsia="Times New Roman" w:hAnsi="Times New Roman"/>
          <w:sz w:val="18"/>
          <w:szCs w:val="18"/>
          <w:color w:val="auto"/>
        </w:rPr>
        <w:t>Jeffrey A. Hakala is the beneficial owner of 6.59% of the outstanding shares of Common Stock;</w:t>
      </w:r>
    </w:p>
    <w:p>
      <w:pPr>
        <w:spacing w:after="0" w:line="41" w:lineRule="exact"/>
        <w:rPr>
          <w:sz w:val="20"/>
          <w:szCs w:val="20"/>
          <w:color w:val="auto"/>
        </w:rPr>
      </w:pPr>
    </w:p>
    <w:p>
      <w:pPr>
        <w:ind w:left="1260" w:right="919"/>
        <w:spacing w:after="0" w:line="237" w:lineRule="auto"/>
        <w:rPr>
          <w:sz w:val="20"/>
          <w:szCs w:val="20"/>
          <w:color w:val="auto"/>
        </w:rPr>
      </w:pPr>
      <w:r>
        <w:rPr>
          <w:rFonts w:ascii="Times New Roman" w:cs="Times New Roman" w:eastAsia="Times New Roman" w:hAnsi="Times New Roman"/>
          <w:sz w:val="18"/>
          <w:szCs w:val="18"/>
          <w:color w:val="auto"/>
        </w:rPr>
        <w:t>Gerald W. Hakala is the beneficial owner of 6.59% of the outstanding shares of Common Stock; and</w:t>
      </w:r>
    </w:p>
    <w:p>
      <w:pPr>
        <w:spacing w:after="0" w:line="64" w:lineRule="exact"/>
        <w:rPr>
          <w:sz w:val="20"/>
          <w:szCs w:val="20"/>
          <w:color w:val="auto"/>
        </w:rPr>
      </w:pPr>
    </w:p>
    <w:p>
      <w:pPr>
        <w:ind w:left="1260" w:right="919"/>
        <w:spacing w:after="0" w:line="237" w:lineRule="auto"/>
        <w:rPr>
          <w:sz w:val="20"/>
          <w:szCs w:val="20"/>
          <w:color w:val="auto"/>
        </w:rPr>
      </w:pPr>
      <w:r>
        <w:rPr>
          <w:rFonts w:ascii="Times New Roman" w:cs="Times New Roman" w:eastAsia="Times New Roman" w:hAnsi="Times New Roman"/>
          <w:sz w:val="18"/>
          <w:szCs w:val="18"/>
          <w:color w:val="auto"/>
        </w:rPr>
        <w:t>Jeremy J. Modell is the beneficial owner of 6.59% of the outstanding shares of Common Stock.</w:t>
      </w:r>
    </w:p>
    <w:p>
      <w:pPr>
        <w:spacing w:after="0" w:line="172" w:lineRule="exact"/>
        <w:rPr>
          <w:sz w:val="20"/>
          <w:szCs w:val="20"/>
          <w:color w:val="auto"/>
        </w:rPr>
      </w:pPr>
    </w:p>
    <w:p>
      <w:pPr>
        <w:ind w:left="1260" w:hanging="685"/>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63" w:lineRule="exact"/>
        <w:rPr>
          <w:rFonts w:ascii="Times New Roman" w:cs="Times New Roman" w:eastAsia="Times New Roman" w:hAnsi="Times New Roman"/>
          <w:sz w:val="18"/>
          <w:szCs w:val="18"/>
          <w:color w:val="auto"/>
        </w:rPr>
      </w:pPr>
    </w:p>
    <w:p>
      <w:pPr>
        <w:ind w:left="1600" w:hanging="350"/>
        <w:spacing w:after="0"/>
        <w:tabs>
          <w:tab w:leader="none" w:pos="16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90" w:lineRule="exact"/>
        <w:rPr>
          <w:sz w:val="20"/>
          <w:szCs w:val="20"/>
          <w:color w:val="auto"/>
        </w:rPr>
      </w:pPr>
    </w:p>
    <w:p>
      <w:pPr>
        <w:ind w:left="1580" w:right="919"/>
        <w:spacing w:after="0" w:line="237" w:lineRule="auto"/>
        <w:rPr>
          <w:sz w:val="20"/>
          <w:szCs w:val="20"/>
          <w:color w:val="auto"/>
        </w:rPr>
      </w:pPr>
      <w:r>
        <w:rPr>
          <w:rFonts w:ascii="Times New Roman" w:cs="Times New Roman" w:eastAsia="Times New Roman" w:hAnsi="Times New Roman"/>
          <w:sz w:val="18"/>
          <w:szCs w:val="18"/>
          <w:color w:val="auto"/>
        </w:rPr>
        <w:t>Each of CCP, CC, MC and the Individual Reporting Persons has the sole power to vote or direct the vote over 0 shares of Common Stock.</w:t>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90" w:lineRule="exact"/>
        <w:rPr>
          <w:sz w:val="20"/>
          <w:szCs w:val="20"/>
          <w:color w:val="auto"/>
        </w:rPr>
      </w:pPr>
    </w:p>
    <w:p>
      <w:pPr>
        <w:ind w:left="1580" w:right="919"/>
        <w:spacing w:after="0" w:line="237" w:lineRule="auto"/>
        <w:rPr>
          <w:sz w:val="20"/>
          <w:szCs w:val="20"/>
          <w:color w:val="auto"/>
        </w:rPr>
      </w:pPr>
      <w:r>
        <w:rPr>
          <w:rFonts w:ascii="Times New Roman" w:cs="Times New Roman" w:eastAsia="Times New Roman" w:hAnsi="Times New Roman"/>
          <w:sz w:val="18"/>
          <w:szCs w:val="18"/>
          <w:color w:val="auto"/>
        </w:rPr>
        <w:t>CCP has the shared power to vote or to direct the vote over 2,130,651 shares of Common Stock;</w:t>
      </w:r>
    </w:p>
    <w:p>
      <w:pPr>
        <w:spacing w:after="0" w:line="37" w:lineRule="exact"/>
        <w:rPr>
          <w:sz w:val="20"/>
          <w:szCs w:val="20"/>
          <w:color w:val="auto"/>
        </w:rPr>
      </w:pPr>
    </w:p>
    <w:p>
      <w:pPr>
        <w:ind w:left="1580" w:right="919" w:hanging="6"/>
        <w:spacing w:after="0" w:line="250" w:lineRule="auto"/>
        <w:tabs>
          <w:tab w:leader="none" w:pos="187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shared power to vote or to direct the vote over 2,130,651 shares of Common Stock;</w:t>
      </w:r>
    </w:p>
    <w:p>
      <w:pPr>
        <w:spacing w:after="0" w:line="28" w:lineRule="exact"/>
        <w:rPr>
          <w:sz w:val="20"/>
          <w:szCs w:val="20"/>
          <w:color w:val="auto"/>
        </w:rPr>
      </w:pPr>
    </w:p>
    <w:p>
      <w:pPr>
        <w:ind w:left="1580" w:right="919"/>
        <w:spacing w:after="0" w:line="237" w:lineRule="auto"/>
        <w:rPr>
          <w:sz w:val="20"/>
          <w:szCs w:val="20"/>
          <w:color w:val="auto"/>
        </w:rPr>
      </w:pPr>
      <w:r>
        <w:rPr>
          <w:rFonts w:ascii="Times New Roman" w:cs="Times New Roman" w:eastAsia="Times New Roman" w:hAnsi="Times New Roman"/>
          <w:sz w:val="18"/>
          <w:szCs w:val="18"/>
          <w:color w:val="auto"/>
        </w:rPr>
        <w:t>MC has the shared power to vote or to direct the vote over 2,130,651 shares of Common Stock;</w:t>
      </w:r>
    </w:p>
    <w:p>
      <w:pPr>
        <w:spacing w:after="0" w:line="37" w:lineRule="exact"/>
        <w:rPr>
          <w:sz w:val="20"/>
          <w:szCs w:val="20"/>
          <w:color w:val="auto"/>
        </w:rPr>
      </w:pPr>
    </w:p>
    <w:p>
      <w:pPr>
        <w:ind w:left="1580" w:right="919"/>
        <w:spacing w:after="0" w:line="237" w:lineRule="auto"/>
        <w:rPr>
          <w:sz w:val="20"/>
          <w:szCs w:val="20"/>
          <w:color w:val="auto"/>
        </w:rPr>
      </w:pPr>
      <w:r>
        <w:rPr>
          <w:rFonts w:ascii="Times New Roman" w:cs="Times New Roman" w:eastAsia="Times New Roman" w:hAnsi="Times New Roman"/>
          <w:sz w:val="18"/>
          <w:szCs w:val="18"/>
          <w:color w:val="auto"/>
        </w:rPr>
        <w:t>Jeffrey A. Hakala has the shared power to vote or to direct the vote over 2,130,651 shares of Common Stock;</w:t>
      </w:r>
    </w:p>
    <w:p>
      <w:pPr>
        <w:spacing w:after="0" w:line="37" w:lineRule="exact"/>
        <w:rPr>
          <w:sz w:val="20"/>
          <w:szCs w:val="20"/>
          <w:color w:val="auto"/>
        </w:rPr>
      </w:pPr>
    </w:p>
    <w:p>
      <w:pPr>
        <w:ind w:left="1580" w:right="919"/>
        <w:spacing w:after="0" w:line="250" w:lineRule="auto"/>
        <w:rPr>
          <w:sz w:val="20"/>
          <w:szCs w:val="20"/>
          <w:color w:val="auto"/>
        </w:rPr>
      </w:pPr>
      <w:r>
        <w:rPr>
          <w:rFonts w:ascii="Times New Roman" w:cs="Times New Roman" w:eastAsia="Times New Roman" w:hAnsi="Times New Roman"/>
          <w:sz w:val="18"/>
          <w:szCs w:val="18"/>
          <w:color w:val="auto"/>
        </w:rPr>
        <w:t>Gerald W. Hakala has the shared power to vote or to direct the vote over 2,130,651 shares of Common Stock; and</w:t>
      </w:r>
    </w:p>
    <w:p>
      <w:pPr>
        <w:spacing w:after="0" w:line="28" w:lineRule="exact"/>
        <w:rPr>
          <w:sz w:val="20"/>
          <w:szCs w:val="20"/>
          <w:color w:val="auto"/>
        </w:rPr>
      </w:pPr>
    </w:p>
    <w:p>
      <w:pPr>
        <w:ind w:left="1580" w:right="919"/>
        <w:spacing w:after="0" w:line="237" w:lineRule="auto"/>
        <w:rPr>
          <w:sz w:val="20"/>
          <w:szCs w:val="20"/>
          <w:color w:val="auto"/>
        </w:rPr>
      </w:pPr>
      <w:r>
        <w:rPr>
          <w:rFonts w:ascii="Times New Roman" w:cs="Times New Roman" w:eastAsia="Times New Roman" w:hAnsi="Times New Roman"/>
          <w:sz w:val="18"/>
          <w:szCs w:val="18"/>
          <w:color w:val="auto"/>
        </w:rPr>
        <w:t>Jeremy J. Modell has the shared power to vote or to direct the vote over 2,130,651 shares of Common Stock.</w:t>
      </w:r>
    </w:p>
    <w:p>
      <w:pPr>
        <w:spacing w:after="0" w:line="37" w:lineRule="exact"/>
        <w:rPr>
          <w:sz w:val="20"/>
          <w:szCs w:val="20"/>
          <w:color w:val="auto"/>
        </w:rPr>
      </w:pPr>
    </w:p>
    <w:p>
      <w:pPr>
        <w:ind w:left="1580" w:hanging="330"/>
        <w:spacing w:after="0"/>
        <w:tabs>
          <w:tab w:leader="none" w:pos="1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90" w:lineRule="exact"/>
        <w:rPr>
          <w:rFonts w:ascii="Times New Roman" w:cs="Times New Roman" w:eastAsia="Times New Roman" w:hAnsi="Times New Roman"/>
          <w:sz w:val="18"/>
          <w:szCs w:val="18"/>
          <w:color w:val="auto"/>
        </w:rPr>
      </w:pPr>
    </w:p>
    <w:p>
      <w:pPr>
        <w:ind w:left="1580" w:right="919"/>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CCP, CC, MC and the Individual Reporting Persons has the sole power to dispose or direct the disposition of 0 shares of Common Stock.</w:t>
      </w:r>
    </w:p>
    <w:p>
      <w:pPr>
        <w:spacing w:after="0" w:line="36" w:lineRule="exact"/>
        <w:rPr>
          <w:rFonts w:ascii="Times New Roman" w:cs="Times New Roman" w:eastAsia="Times New Roman" w:hAnsi="Times New Roman"/>
          <w:sz w:val="18"/>
          <w:szCs w:val="18"/>
          <w:color w:val="auto"/>
        </w:rPr>
      </w:pPr>
    </w:p>
    <w:p>
      <w:pPr>
        <w:ind w:left="1600" w:hanging="350"/>
        <w:spacing w:after="0"/>
        <w:tabs>
          <w:tab w:leader="none" w:pos="1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90" w:lineRule="exact"/>
        <w:rPr>
          <w:sz w:val="20"/>
          <w:szCs w:val="20"/>
          <w:color w:val="auto"/>
        </w:rPr>
      </w:pPr>
    </w:p>
    <w:p>
      <w:pPr>
        <w:ind w:left="1580" w:right="919"/>
        <w:spacing w:after="0" w:line="237" w:lineRule="auto"/>
        <w:rPr>
          <w:sz w:val="20"/>
          <w:szCs w:val="20"/>
          <w:color w:val="auto"/>
        </w:rPr>
      </w:pPr>
      <w:r>
        <w:rPr>
          <w:rFonts w:ascii="Times New Roman" w:cs="Times New Roman" w:eastAsia="Times New Roman" w:hAnsi="Times New Roman"/>
          <w:sz w:val="18"/>
          <w:szCs w:val="18"/>
          <w:color w:val="auto"/>
        </w:rPr>
        <w:t>CCP has the shared power to dispose or to direct the disposition of 2,229,049 shares of Common Stock;</w:t>
      </w:r>
    </w:p>
    <w:p>
      <w:pPr>
        <w:spacing w:after="0" w:line="37" w:lineRule="exact"/>
        <w:rPr>
          <w:sz w:val="20"/>
          <w:szCs w:val="20"/>
          <w:color w:val="auto"/>
        </w:rPr>
      </w:pPr>
    </w:p>
    <w:p>
      <w:pPr>
        <w:ind w:left="1580" w:right="919" w:hanging="6"/>
        <w:spacing w:after="0" w:line="250" w:lineRule="auto"/>
        <w:tabs>
          <w:tab w:leader="none" w:pos="18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shared power to dispose or to direct the disposition of 2,229,049 shares of Common Stock;</w:t>
      </w:r>
    </w:p>
    <w:p>
      <w:pPr>
        <w:spacing w:after="0" w:line="28" w:lineRule="exact"/>
        <w:rPr>
          <w:sz w:val="20"/>
          <w:szCs w:val="20"/>
          <w:color w:val="auto"/>
        </w:rPr>
      </w:pPr>
    </w:p>
    <w:p>
      <w:pPr>
        <w:ind w:left="1580" w:right="919"/>
        <w:spacing w:after="0" w:line="237" w:lineRule="auto"/>
        <w:rPr>
          <w:sz w:val="20"/>
          <w:szCs w:val="20"/>
          <w:color w:val="auto"/>
        </w:rPr>
      </w:pPr>
      <w:r>
        <w:rPr>
          <w:rFonts w:ascii="Times New Roman" w:cs="Times New Roman" w:eastAsia="Times New Roman" w:hAnsi="Times New Roman"/>
          <w:sz w:val="18"/>
          <w:szCs w:val="18"/>
          <w:color w:val="auto"/>
        </w:rPr>
        <w:t>MC has the shared power to dispose or to direct the disposition of 2,229,049 shares of Common Stock;</w:t>
      </w:r>
    </w:p>
    <w:p>
      <w:pPr>
        <w:spacing w:after="0" w:line="37" w:lineRule="exact"/>
        <w:rPr>
          <w:sz w:val="20"/>
          <w:szCs w:val="20"/>
          <w:color w:val="auto"/>
        </w:rPr>
      </w:pPr>
    </w:p>
    <w:p>
      <w:pPr>
        <w:ind w:left="1580" w:right="919"/>
        <w:spacing w:after="0" w:line="237" w:lineRule="auto"/>
        <w:rPr>
          <w:sz w:val="20"/>
          <w:szCs w:val="20"/>
          <w:color w:val="auto"/>
        </w:rPr>
      </w:pPr>
      <w:r>
        <w:rPr>
          <w:rFonts w:ascii="Times New Roman" w:cs="Times New Roman" w:eastAsia="Times New Roman" w:hAnsi="Times New Roman"/>
          <w:sz w:val="18"/>
          <w:szCs w:val="18"/>
          <w:color w:val="auto"/>
        </w:rPr>
        <w:t>Jeffrey A. Hakala has the shared power to dispose or to direct the disposition of 2,229,049 shares of Common Stock;</w:t>
      </w:r>
    </w:p>
    <w:p>
      <w:pPr>
        <w:spacing w:after="0" w:line="37" w:lineRule="exact"/>
        <w:rPr>
          <w:sz w:val="20"/>
          <w:szCs w:val="20"/>
          <w:color w:val="auto"/>
        </w:rPr>
      </w:pPr>
    </w:p>
    <w:p>
      <w:pPr>
        <w:ind w:left="1580" w:right="919"/>
        <w:spacing w:after="0" w:line="250" w:lineRule="auto"/>
        <w:rPr>
          <w:sz w:val="20"/>
          <w:szCs w:val="20"/>
          <w:color w:val="auto"/>
        </w:rPr>
      </w:pPr>
      <w:r>
        <w:rPr>
          <w:rFonts w:ascii="Times New Roman" w:cs="Times New Roman" w:eastAsia="Times New Roman" w:hAnsi="Times New Roman"/>
          <w:sz w:val="18"/>
          <w:szCs w:val="18"/>
          <w:color w:val="auto"/>
        </w:rPr>
        <w:t>Gerald W. Hakala has the shared power to dispose or to direct the disposition of 2,229,049 shares of Common Stock; and</w:t>
      </w:r>
    </w:p>
    <w:p>
      <w:pPr>
        <w:spacing w:after="0" w:line="28" w:lineRule="exact"/>
        <w:rPr>
          <w:sz w:val="20"/>
          <w:szCs w:val="20"/>
          <w:color w:val="auto"/>
        </w:rPr>
      </w:pPr>
    </w:p>
    <w:p>
      <w:pPr>
        <w:ind w:left="1580" w:right="919"/>
        <w:spacing w:after="0" w:line="237" w:lineRule="auto"/>
        <w:rPr>
          <w:sz w:val="20"/>
          <w:szCs w:val="20"/>
          <w:color w:val="auto"/>
        </w:rPr>
      </w:pPr>
      <w:r>
        <w:rPr>
          <w:rFonts w:ascii="Times New Roman" w:cs="Times New Roman" w:eastAsia="Times New Roman" w:hAnsi="Times New Roman"/>
          <w:sz w:val="18"/>
          <w:szCs w:val="18"/>
          <w:color w:val="auto"/>
        </w:rPr>
        <w:t>Jeremy J. Modell has the shared power to dispose or to direct the disposition of 2,229,049 shares of Common Stock.</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10 of 13</w:t>
      </w:r>
    </w:p>
    <w:p>
      <w:pPr>
        <w:sectPr>
          <w:pgSz w:w="11900" w:h="16838" w:orient="portrait"/>
          <w:cols w:equalWidth="0" w:num="1">
            <w:col w:w="9019"/>
          </w:cols>
          <w:pgMar w:left="1440" w:top="32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200" w:lineRule="exact"/>
        <w:rPr>
          <w:sz w:val="20"/>
          <w:szCs w:val="20"/>
          <w:color w:val="auto"/>
        </w:rPr>
      </w:pPr>
    </w:p>
    <w:p>
      <w:pPr>
        <w:sectPr>
          <w:pgSz w:w="11900" w:h="16838" w:orient="portrait"/>
          <w:cols w:equalWidth="0" w:num="2">
            <w:col w:w="980" w:space="720"/>
            <w:col w:w="9520"/>
          </w:cols>
          <w:pgMar w:left="320" w:top="684" w:right="359" w:bottom="1440" w:gutter="0" w:footer="0" w:header="0"/>
        </w:sectPr>
      </w:pPr>
    </w:p>
    <w:p>
      <w:pPr>
        <w:spacing w:after="0" w:line="68" w:lineRule="exact"/>
        <w:rPr>
          <w:sz w:val="20"/>
          <w:szCs w:val="20"/>
          <w:color w:val="auto"/>
        </w:rPr>
      </w:pPr>
    </w:p>
    <w:p>
      <w:pPr>
        <w:ind w:left="1700" w:right="10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20"/>
          </w:cols>
          <w:pgMar w:left="320" w:top="684" w:right="35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133" w:lineRule="exact"/>
        <w:rPr>
          <w:sz w:val="20"/>
          <w:szCs w:val="20"/>
          <w:color w:val="auto"/>
        </w:rPr>
      </w:pPr>
    </w:p>
    <w:p>
      <w:pPr>
        <w:sectPr>
          <w:pgSz w:w="11900" w:h="16838" w:orient="portrait"/>
          <w:cols w:equalWidth="0" w:num="2">
            <w:col w:w="980" w:space="720"/>
            <w:col w:w="9520"/>
          </w:cols>
          <w:pgMar w:left="320" w:top="684" w:right="359" w:bottom="1440" w:gutter="0" w:footer="0" w:header="0"/>
          <w:type w:val="continuous"/>
        </w:sectPr>
      </w:pPr>
    </w:p>
    <w:p>
      <w:pPr>
        <w:jc w:val="both"/>
        <w:ind w:left="1700"/>
        <w:spacing w:after="0" w:line="261" w:lineRule="auto"/>
        <w:rPr>
          <w:sz w:val="20"/>
          <w:szCs w:val="20"/>
          <w:color w:val="auto"/>
        </w:rPr>
      </w:pPr>
      <w:r>
        <w:rPr>
          <w:rFonts w:ascii="Times New Roman" w:cs="Times New Roman" w:eastAsia="Times New Roman" w:hAnsi="Times New Roman"/>
          <w:sz w:val="18"/>
          <w:szCs w:val="18"/>
          <w:color w:val="auto"/>
        </w:rPr>
        <w:t>The shares reported in this statement have been purchased by CCP on behalf of CCP’s discretionary clients or by a control person of CCP in an account over which such control person has beneficial ownership. CCP’s clients have the right to receive or the power to direct the receipt of dividends from, or the proceeds from the sale of such securities held in their accounts, subject to CCP’s general authority to invest and reinvest the assets in each account under its management.</w:t>
      </w:r>
    </w:p>
    <w:p>
      <w:pPr>
        <w:sectPr>
          <w:pgSz w:w="11900" w:h="16838" w:orient="portrait"/>
          <w:cols w:equalWidth="0" w:num="1">
            <w:col w:w="11220"/>
          </w:cols>
          <w:pgMar w:left="320" w:top="684" w:right="359" w:bottom="1440" w:gutter="0" w:footer="0" w:header="0"/>
          <w:type w:val="continuous"/>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86" w:lineRule="exact"/>
        <w:rPr>
          <w:sz w:val="20"/>
          <w:szCs w:val="20"/>
          <w:color w:val="auto"/>
        </w:rPr>
      </w:pPr>
    </w:p>
    <w:p>
      <w:pPr>
        <w:sectPr>
          <w:pgSz w:w="11900" w:h="16838" w:orient="portrait"/>
          <w:cols w:equalWidth="0" w:num="2">
            <w:col w:w="980" w:space="720"/>
            <w:col w:w="9520"/>
          </w:cols>
          <w:pgMar w:left="320" w:top="684" w:right="35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7"/>
          <w:szCs w:val="17"/>
          <w:color w:val="auto"/>
        </w:rPr>
        <w:t>With respect to CC, MC and the Individual Reporting Persons, see Item 4.</w:t>
      </w:r>
    </w:p>
    <w:p>
      <w:pPr>
        <w:sectPr>
          <w:pgSz w:w="11900" w:h="16838" w:orient="portrait"/>
          <w:cols w:equalWidth="0" w:num="1">
            <w:col w:w="11220"/>
          </w:cols>
          <w:pgMar w:left="320" w:top="684" w:right="359" w:bottom="1440" w:gutter="0" w:footer="0" w:header="0"/>
          <w:type w:val="continuous"/>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980" w:space="720"/>
            <w:col w:w="9520"/>
          </w:cols>
          <w:pgMar w:left="320" w:top="684" w:right="359" w:bottom="1440" w:gutter="0" w:footer="0" w:header="0"/>
          <w:type w:val="continuous"/>
        </w:sectPr>
      </w:pPr>
    </w:p>
    <w:p>
      <w:pPr>
        <w:spacing w:after="0" w:line="6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20"/>
          </w:cols>
          <w:pgMar w:left="320" w:top="684" w:right="359" w:bottom="1440" w:gutter="0" w:footer="0" w:header="0"/>
          <w:type w:val="continuous"/>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200" w:lineRule="exact"/>
        <w:rPr>
          <w:sz w:val="20"/>
          <w:szCs w:val="20"/>
          <w:color w:val="auto"/>
        </w:rPr>
      </w:pPr>
    </w:p>
    <w:p>
      <w:pPr>
        <w:sectPr>
          <w:pgSz w:w="11900" w:h="16838" w:orient="portrait"/>
          <w:cols w:equalWidth="0" w:num="2">
            <w:col w:w="980" w:space="720"/>
            <w:col w:w="9520"/>
          </w:cols>
          <w:pgMar w:left="320" w:top="684" w:right="359" w:bottom="1440" w:gutter="0" w:footer="0" w:header="0"/>
          <w:type w:val="continuous"/>
        </w:sectPr>
      </w:pPr>
    </w:p>
    <w:p>
      <w:pPr>
        <w:spacing w:after="0" w:line="6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20"/>
          </w:cols>
          <w:pgMar w:left="320" w:top="684" w:right="359" w:bottom="1440" w:gutter="0" w:footer="0" w:header="0"/>
          <w:type w:val="continuous"/>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1" w:lineRule="exact"/>
        <w:rPr>
          <w:sz w:val="20"/>
          <w:szCs w:val="20"/>
          <w:color w:val="auto"/>
        </w:rPr>
      </w:pPr>
    </w:p>
    <w:p>
      <w:pPr>
        <w:sectPr>
          <w:pgSz w:w="11900" w:h="16838" w:orient="portrait"/>
          <w:cols w:equalWidth="0" w:num="2">
            <w:col w:w="980" w:space="720"/>
            <w:col w:w="9520"/>
          </w:cols>
          <w:pgMar w:left="320" w:top="684" w:right="359" w:bottom="1440" w:gutter="0" w:footer="0" w:header="0"/>
          <w:type w:val="continuous"/>
        </w:sectPr>
      </w:pPr>
    </w:p>
    <w:p>
      <w:pPr>
        <w:spacing w:after="0" w:line="56" w:lineRule="exact"/>
        <w:rPr>
          <w:sz w:val="20"/>
          <w:szCs w:val="20"/>
          <w:color w:val="auto"/>
        </w:rPr>
      </w:pPr>
    </w:p>
    <w:p>
      <w:pPr>
        <w:ind w:left="1700" w:right="40" w:firstLine="450"/>
        <w:spacing w:after="0" w:line="281"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220"/>
          </w:cols>
          <w:pgMar w:left="320" w:top="6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Page 11 of 13</w:t>
      </w:r>
    </w:p>
    <w:p>
      <w:pPr>
        <w:sectPr>
          <w:pgSz w:w="11900" w:h="16838" w:orient="portrait"/>
          <w:cols w:equalWidth="0" w:num="1">
            <w:col w:w="11220"/>
          </w:cols>
          <w:pgMar w:left="320" w:top="684" w:right="35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CLARKSTON CAPITAL PARTNERS, LLC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 Jeffrey A. Hakala</w:t>
            </w:r>
          </w:p>
        </w:tc>
        <w:tc>
          <w:tcPr>
            <w:tcW w:w="4500" w:type="dxa"/>
            <w:vAlign w:val="bottom"/>
          </w:tcPr>
          <w:p>
            <w:pPr>
              <w:ind w:left="3260"/>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27"/>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bottom w:val="single" w:sz="8" w:color="auto"/>
            </w:tcBorders>
          </w:tcPr>
          <w:p>
            <w:pPr>
              <w:spacing w:after="0"/>
              <w:rPr>
                <w:sz w:val="2"/>
                <w:szCs w:val="2"/>
                <w:color w:val="auto"/>
              </w:rPr>
            </w:pPr>
          </w:p>
        </w:tc>
        <w:tc>
          <w:tcPr>
            <w:tcW w:w="4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00" w:type="dxa"/>
            <w:vAlign w:val="bottom"/>
            <w:vMerge w:val="continue"/>
          </w:tcPr>
          <w:p>
            <w:pPr>
              <w:spacing w:after="0"/>
              <w:rPr>
                <w:sz w:val="17"/>
                <w:szCs w:val="17"/>
                <w:color w:val="auto"/>
              </w:rPr>
            </w:pPr>
          </w:p>
        </w:tc>
        <w:tc>
          <w:tcPr>
            <w:tcW w:w="4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Jeffrey A. Hakala</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CLARKSTON COMPANIES, INC.</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 Jeffrey A. Hakala</w:t>
            </w:r>
          </w:p>
        </w:tc>
        <w:tc>
          <w:tcPr>
            <w:tcW w:w="4500" w:type="dxa"/>
            <w:vAlign w:val="bottom"/>
          </w:tcPr>
          <w:p>
            <w:pPr>
              <w:ind w:left="3260"/>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27"/>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bottom w:val="single" w:sz="8" w:color="auto"/>
            </w:tcBorders>
          </w:tcPr>
          <w:p>
            <w:pPr>
              <w:spacing w:after="0"/>
              <w:rPr>
                <w:sz w:val="2"/>
                <w:szCs w:val="2"/>
                <w:color w:val="auto"/>
              </w:rPr>
            </w:pPr>
          </w:p>
        </w:tc>
        <w:tc>
          <w:tcPr>
            <w:tcW w:w="4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00" w:type="dxa"/>
            <w:vAlign w:val="bottom"/>
            <w:vMerge w:val="continue"/>
          </w:tcPr>
          <w:p>
            <w:pPr>
              <w:spacing w:after="0"/>
              <w:rPr>
                <w:sz w:val="17"/>
                <w:szCs w:val="17"/>
                <w:color w:val="auto"/>
              </w:rPr>
            </w:pPr>
          </w:p>
        </w:tc>
        <w:tc>
          <w:tcPr>
            <w:tcW w:w="4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Jeffrey A. Hakala</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MODELL CAPITAL LLC</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 Jeremy J. Modell</w:t>
            </w:r>
          </w:p>
        </w:tc>
        <w:tc>
          <w:tcPr>
            <w:tcW w:w="4500" w:type="dxa"/>
            <w:vAlign w:val="bottom"/>
          </w:tcPr>
          <w:p>
            <w:pPr>
              <w:ind w:left="3260"/>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27"/>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bottom w:val="single" w:sz="8" w:color="auto"/>
            </w:tcBorders>
          </w:tcPr>
          <w:p>
            <w:pPr>
              <w:spacing w:after="0"/>
              <w:rPr>
                <w:sz w:val="2"/>
                <w:szCs w:val="2"/>
                <w:color w:val="auto"/>
              </w:rPr>
            </w:pPr>
          </w:p>
        </w:tc>
        <w:tc>
          <w:tcPr>
            <w:tcW w:w="4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00" w:type="dxa"/>
            <w:vAlign w:val="bottom"/>
            <w:vMerge w:val="continue"/>
          </w:tcPr>
          <w:p>
            <w:pPr>
              <w:spacing w:after="0"/>
              <w:rPr>
                <w:sz w:val="17"/>
                <w:szCs w:val="17"/>
                <w:color w:val="auto"/>
              </w:rPr>
            </w:pPr>
          </w:p>
        </w:tc>
        <w:tc>
          <w:tcPr>
            <w:tcW w:w="4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Jeremy J. Modell</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A. HAKALA</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 Jeffrey A. Hakala</w:t>
            </w:r>
          </w:p>
        </w:tc>
        <w:tc>
          <w:tcPr>
            <w:tcW w:w="4500" w:type="dxa"/>
            <w:vAlign w:val="bottom"/>
          </w:tcPr>
          <w:p>
            <w:pPr>
              <w:ind w:left="3260"/>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27"/>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bottom w:val="single" w:sz="8" w:color="auto"/>
            </w:tcBorders>
          </w:tcPr>
          <w:p>
            <w:pPr>
              <w:spacing w:after="0"/>
              <w:rPr>
                <w:sz w:val="2"/>
                <w:szCs w:val="2"/>
                <w:color w:val="auto"/>
              </w:rPr>
            </w:pPr>
          </w:p>
        </w:tc>
        <w:tc>
          <w:tcPr>
            <w:tcW w:w="4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00" w:type="dxa"/>
            <w:vAlign w:val="bottom"/>
            <w:vMerge w:val="continue"/>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Jeffrey A. Hakala</w:t>
            </w: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W. HAKALA</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 Gerald W. Hakala</w:t>
            </w:r>
          </w:p>
        </w:tc>
        <w:tc>
          <w:tcPr>
            <w:tcW w:w="4500" w:type="dxa"/>
            <w:vAlign w:val="bottom"/>
          </w:tcPr>
          <w:p>
            <w:pPr>
              <w:ind w:left="3260"/>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27"/>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bottom w:val="single" w:sz="8" w:color="auto"/>
            </w:tcBorders>
          </w:tcPr>
          <w:p>
            <w:pPr>
              <w:spacing w:after="0"/>
              <w:rPr>
                <w:sz w:val="2"/>
                <w:szCs w:val="2"/>
                <w:color w:val="auto"/>
              </w:rPr>
            </w:pPr>
          </w:p>
        </w:tc>
        <w:tc>
          <w:tcPr>
            <w:tcW w:w="4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00" w:type="dxa"/>
            <w:vAlign w:val="bottom"/>
            <w:vMerge w:val="continue"/>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Gerald W. Hakala</w:t>
            </w: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J. MODELL</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 Jeremy J. Modell</w:t>
            </w:r>
          </w:p>
        </w:tc>
        <w:tc>
          <w:tcPr>
            <w:tcW w:w="4500" w:type="dxa"/>
            <w:vAlign w:val="bottom"/>
          </w:tcPr>
          <w:p>
            <w:pPr>
              <w:ind w:left="3260"/>
              <w:spacing w:after="0"/>
              <w:rPr>
                <w:sz w:val="20"/>
                <w:szCs w:val="20"/>
                <w:color w:val="auto"/>
              </w:rPr>
            </w:pPr>
            <w:r>
              <w:rPr>
                <w:rFonts w:ascii="Times New Roman" w:cs="Times New Roman" w:eastAsia="Times New Roman" w:hAnsi="Times New Roman"/>
                <w:sz w:val="18"/>
                <w:szCs w:val="18"/>
                <w:color w:val="auto"/>
                <w:w w:val="98"/>
              </w:rPr>
              <w:t>February 7, 2024</w:t>
            </w:r>
          </w:p>
        </w:tc>
        <w:tc>
          <w:tcPr>
            <w:tcW w:w="0" w:type="dxa"/>
            <w:vAlign w:val="bottom"/>
          </w:tcPr>
          <w:p>
            <w:pPr>
              <w:spacing w:after="0"/>
              <w:rPr>
                <w:sz w:val="1"/>
                <w:szCs w:val="1"/>
                <w:color w:val="auto"/>
              </w:rPr>
            </w:pPr>
          </w:p>
        </w:tc>
      </w:tr>
      <w:tr>
        <w:trPr>
          <w:trHeight w:val="27"/>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bottom w:val="single" w:sz="8" w:color="auto"/>
            </w:tcBorders>
          </w:tcPr>
          <w:p>
            <w:pPr>
              <w:spacing w:after="0"/>
              <w:rPr>
                <w:sz w:val="2"/>
                <w:szCs w:val="2"/>
                <w:color w:val="auto"/>
              </w:rPr>
            </w:pPr>
          </w:p>
        </w:tc>
        <w:tc>
          <w:tcPr>
            <w:tcW w:w="4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00" w:type="dxa"/>
            <w:vAlign w:val="bottom"/>
            <w:vMerge w:val="continue"/>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Jeremy J. Modell</w:t>
            </w: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12 of 13</w:t>
      </w:r>
    </w:p>
    <w:p>
      <w:pPr>
        <w:sectPr>
          <w:pgSz w:w="11900" w:h="16838" w:orient="portrait"/>
          <w:cols w:equalWidth="0" w:num="1">
            <w:col w:w="11240"/>
          </w:cols>
          <w:pgMar w:left="320" w:top="46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86"/>
        </w:trPr>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60" w:type="dxa"/>
            <w:vAlign w:val="bottom"/>
          </w:tcPr>
          <w:p>
            <w:pPr>
              <w:ind w:left="960"/>
              <w:spacing w:after="0"/>
              <w:rPr>
                <w:sz w:val="20"/>
                <w:szCs w:val="20"/>
                <w:color w:val="auto"/>
              </w:rPr>
            </w:pPr>
            <w:r>
              <w:rPr>
                <w:rFonts w:ascii="Times New Roman" w:cs="Times New Roman" w:eastAsia="Times New Roman" w:hAnsi="Times New Roman"/>
                <w:sz w:val="22"/>
                <w:szCs w:val="22"/>
                <w:b w:val="1"/>
                <w:bCs w:val="1"/>
                <w:color w:val="auto"/>
              </w:rPr>
              <w:t>LIST OF EXHIBITS</w:t>
            </w:r>
          </w:p>
        </w:tc>
        <w:tc>
          <w:tcPr>
            <w:tcW w:w="0" w:type="dxa"/>
            <w:vAlign w:val="bottom"/>
          </w:tcPr>
          <w:p>
            <w:pPr>
              <w:spacing w:after="0"/>
              <w:rPr>
                <w:sz w:val="1"/>
                <w:szCs w:val="1"/>
                <w:color w:val="auto"/>
              </w:rPr>
            </w:pPr>
          </w:p>
        </w:tc>
      </w:tr>
      <w:tr>
        <w:trPr>
          <w:trHeight w:val="434"/>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9780" w:type="dxa"/>
            <w:vAlign w:val="bottom"/>
            <w:gridSpan w:val="4"/>
          </w:tcPr>
          <w:p>
            <w:pPr>
              <w:ind w:left="320"/>
              <w:spacing w:after="0"/>
              <w:rPr>
                <w:sz w:val="20"/>
                <w:szCs w:val="20"/>
                <w:color w:val="auto"/>
              </w:rPr>
            </w:pPr>
            <w:r>
              <w:rPr>
                <w:rFonts w:ascii="Times New Roman" w:cs="Times New Roman" w:eastAsia="Times New Roman" w:hAnsi="Times New Roman"/>
                <w:sz w:val="22"/>
                <w:szCs w:val="22"/>
                <w:b w:val="1"/>
                <w:bCs w:val="1"/>
                <w:color w:val="auto"/>
              </w:rPr>
              <w:t>Description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gridSpan w:val="2"/>
          </w:tcPr>
          <w:p>
            <w:pPr>
              <w:spacing w:after="0"/>
              <w:rPr>
                <w:rFonts w:ascii="Times New Roman" w:cs="Times New Roman" w:eastAsia="Times New Roman" w:hAnsi="Times New Roman"/>
                <w:sz w:val="22"/>
                <w:szCs w:val="22"/>
                <w:color w:val="0000EE"/>
              </w:rPr>
            </w:pPr>
            <w:hyperlink r:id="rId66">
              <w:r>
                <w:rPr>
                  <w:rFonts w:ascii="Times New Roman" w:cs="Times New Roman" w:eastAsia="Times New Roman" w:hAnsi="Times New Roman"/>
                  <w:sz w:val="22"/>
                  <w:szCs w:val="22"/>
                  <w:color w:val="0000EE"/>
                </w:rPr>
                <w:t>99.</w:t>
              </w:r>
              <w:r>
                <w:rPr>
                  <w:rFonts w:ascii="Times New Roman" w:cs="Times New Roman" w:eastAsia="Times New Roman" w:hAnsi="Times New Roman"/>
                  <w:sz w:val="22"/>
                  <w:szCs w:val="22"/>
                  <w:u w:val="single" w:color="auto"/>
                  <w:color w:val="0000EE"/>
                </w:rPr>
                <w:t>1</w:t>
              </w:r>
            </w:hyperlink>
          </w:p>
        </w:tc>
        <w:tc>
          <w:tcPr>
            <w:tcW w:w="320" w:type="dxa"/>
            <w:vAlign w:val="bottom"/>
          </w:tcPr>
          <w:p>
            <w:pPr>
              <w:spacing w:after="0"/>
              <w:rPr>
                <w:sz w:val="24"/>
                <w:szCs w:val="24"/>
                <w:color w:val="auto"/>
              </w:rPr>
            </w:pPr>
          </w:p>
        </w:tc>
        <w:tc>
          <w:tcPr>
            <w:tcW w:w="9780" w:type="dxa"/>
            <w:vAlign w:val="bottom"/>
            <w:gridSpan w:val="4"/>
          </w:tcPr>
          <w:p>
            <w:pPr>
              <w:ind w:left="320"/>
              <w:spacing w:after="0"/>
              <w:rPr>
                <w:rFonts w:ascii="Times New Roman" w:cs="Times New Roman" w:eastAsia="Times New Roman" w:hAnsi="Times New Roman"/>
                <w:sz w:val="22"/>
                <w:szCs w:val="22"/>
                <w:color w:val="0000EE"/>
                <w:w w:val="97"/>
              </w:rPr>
            </w:pPr>
            <w:hyperlink r:id="rId66">
              <w:r>
                <w:rPr>
                  <w:rFonts w:ascii="Times New Roman" w:cs="Times New Roman" w:eastAsia="Times New Roman" w:hAnsi="Times New Roman"/>
                  <w:sz w:val="22"/>
                  <w:szCs w:val="22"/>
                  <w:color w:val="0000EE"/>
                  <w:w w:val="97"/>
                </w:rPr>
                <w:t xml:space="preserve">Joint Filing Agreement </w:t>
              </w:r>
            </w:hyperlink>
            <w:r>
              <w:rPr>
                <w:rFonts w:ascii="Times New Roman" w:cs="Times New Roman" w:eastAsia="Times New Roman" w:hAnsi="Times New Roman"/>
                <w:sz w:val="22"/>
                <w:szCs w:val="22"/>
                <w:color w:val="000000"/>
                <w:w w:val="97"/>
              </w:rPr>
              <w:t>(incorporated</w:t>
            </w:r>
            <w:r>
              <w:rPr>
                <w:rFonts w:ascii="Times New Roman" w:cs="Times New Roman" w:eastAsia="Times New Roman" w:hAnsi="Times New Roman"/>
                <w:sz w:val="22"/>
                <w:szCs w:val="22"/>
                <w:color w:val="0000EE"/>
                <w:w w:val="97"/>
              </w:rPr>
              <w:t xml:space="preserve"> </w:t>
            </w:r>
            <w:r>
              <w:rPr>
                <w:rFonts w:ascii="Times New Roman" w:cs="Times New Roman" w:eastAsia="Times New Roman" w:hAnsi="Times New Roman"/>
                <w:sz w:val="22"/>
                <w:szCs w:val="22"/>
                <w:color w:val="000000"/>
                <w:w w:val="97"/>
              </w:rPr>
              <w:t>by reference to Exhibit 99.1 to the Schedule 13G filed by the Reporting</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vMerge w:val="continue"/>
          </w:tcPr>
          <w:p>
            <w:pPr>
              <w:spacing w:after="0"/>
              <w:rPr>
                <w:sz w:val="23"/>
                <w:szCs w:val="23"/>
                <w:color w:val="auto"/>
              </w:rPr>
            </w:pPr>
          </w:p>
        </w:tc>
        <w:tc>
          <w:tcPr>
            <w:tcW w:w="9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Persons on February 14,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13 of 13</w:t>
      </w:r>
    </w:p>
    <w:sectPr>
      <w:pgSz w:w="11900" w:h="16838" w:orient="portrait"/>
      <w:cols w:equalWidth="0" w:num="1">
        <w:col w:w="11160"/>
      </w:cols>
      <w:pgMar w:left="32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lvl w:ilvl="1">
      <w:lvlJc w:val="left"/>
      <w:lvlText w:val="[%2]"/>
      <w:numFmt w:val="upperLetter"/>
      <w:start w:val="24"/>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3"/>
    </w:lvl>
  </w:abstractNum>
  <w:abstractNum w:abstractNumId="3">
    <w:nsid w:val="333AB105"/>
    <w:multiLevelType w:val="hybridMultilevel"/>
    <w:lvl w:ilvl="0">
      <w:lvlJc w:val="left"/>
      <w:lvlText w:val="(%1)"/>
      <w:numFmt w:val="decimal"/>
      <w:start w:val="9"/>
    </w:lvl>
  </w:abstractNum>
  <w:abstractNum w:abstractNumId="4">
    <w:nsid w:val="721DA317"/>
    <w:multiLevelType w:val="hybridMultilevel"/>
    <w:lvl w:ilvl="0">
      <w:lvlJc w:val="left"/>
      <w:lvlText w:val="(%1)"/>
      <w:numFmt w:val="decimal"/>
      <w:start w:val="11"/>
    </w:lvl>
  </w:abstractNum>
  <w:abstractNum w:abstractNumId="5">
    <w:nsid w:val="2443A858"/>
    <w:multiLevelType w:val="hybridMultilevel"/>
    <w:lvl w:ilvl="0">
      <w:lvlJc w:val="left"/>
      <w:lvlText w:val="1"/>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3"/>
    </w:lvl>
  </w:abstractNum>
  <w:abstractNum w:abstractNumId="8">
    <w:nsid w:val="75A2A8D4"/>
    <w:multiLevelType w:val="hybridMultilevel"/>
    <w:lvl w:ilvl="0">
      <w:lvlJc w:val="left"/>
      <w:lvlText w:val="(%1)"/>
      <w:numFmt w:val="decimal"/>
      <w:start w:val="9"/>
    </w:lvl>
  </w:abstractNum>
  <w:abstractNum w:abstractNumId="9">
    <w:nsid w:val="8EDBDAB"/>
    <w:multiLevelType w:val="hybridMultilevel"/>
    <w:lvl w:ilvl="0">
      <w:lvlJc w:val="left"/>
      <w:lvlText w:val="(%1)"/>
      <w:numFmt w:val="decimal"/>
      <w:start w:val="11"/>
    </w:lvl>
  </w:abstractNum>
  <w:abstractNum w:abstractNumId="10">
    <w:nsid w:val="79838CB2"/>
    <w:multiLevelType w:val="hybridMultilevel"/>
    <w:lvl w:ilvl="0">
      <w:lvlJc w:val="left"/>
      <w:lvlText w:val="2"/>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3"/>
    </w:lvl>
  </w:abstractNum>
  <w:abstractNum w:abstractNumId="13">
    <w:nsid w:val="189A769B"/>
    <w:multiLevelType w:val="hybridMultilevel"/>
    <w:lvl w:ilvl="0">
      <w:lvlJc w:val="left"/>
      <w:lvlText w:val="(%1)"/>
      <w:numFmt w:val="decimal"/>
      <w:start w:val="9"/>
    </w:lvl>
  </w:abstractNum>
  <w:abstractNum w:abstractNumId="14">
    <w:nsid w:val="54E49EB4"/>
    <w:multiLevelType w:val="hybridMultilevel"/>
    <w:lvl w:ilvl="0">
      <w:lvlJc w:val="left"/>
      <w:lvlText w:val="(%1)"/>
      <w:numFmt w:val="decimal"/>
      <w:start w:val="11"/>
    </w:lvl>
  </w:abstractNum>
  <w:abstractNum w:abstractNumId="15">
    <w:nsid w:val="71F32454"/>
    <w:multiLevelType w:val="hybridMultilevel"/>
    <w:lvl w:ilvl="0">
      <w:lvlJc w:val="left"/>
      <w:lvlText w:val="3"/>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3"/>
    </w:lvl>
  </w:abstractNum>
  <w:abstractNum w:abstractNumId="18">
    <w:nsid w:val="2901D82"/>
    <w:multiLevelType w:val="hybridMultilevel"/>
    <w:lvl w:ilvl="0">
      <w:lvlJc w:val="left"/>
      <w:lvlText w:val="(%1)"/>
      <w:numFmt w:val="decimal"/>
      <w:start w:val="9"/>
    </w:lvl>
  </w:abstractNum>
  <w:abstractNum w:abstractNumId="19">
    <w:nsid w:val="3A95F874"/>
    <w:multiLevelType w:val="hybridMultilevel"/>
    <w:lvl w:ilvl="0">
      <w:lvlJc w:val="left"/>
      <w:lvlText w:val="(%1)"/>
      <w:numFmt w:val="decimal"/>
      <w:start w:val="11"/>
    </w:lvl>
  </w:abstractNum>
  <w:abstractNum w:abstractNumId="20">
    <w:nsid w:val="8138641"/>
    <w:multiLevelType w:val="hybridMultilevel"/>
    <w:lvl w:ilvl="0">
      <w:lvlJc w:val="left"/>
      <w:lvlText w:val="4"/>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3"/>
    </w:lvl>
  </w:abstractNum>
  <w:abstractNum w:abstractNumId="23">
    <w:nsid w:val="737B8DDC"/>
    <w:multiLevelType w:val="hybridMultilevel"/>
    <w:lvl w:ilvl="0">
      <w:lvlJc w:val="left"/>
      <w:lvlText w:val="(%1)"/>
      <w:numFmt w:val="decimal"/>
      <w:start w:val="9"/>
    </w:lvl>
  </w:abstractNum>
  <w:abstractNum w:abstractNumId="24">
    <w:nsid w:val="6CEAF087"/>
    <w:multiLevelType w:val="hybridMultilevel"/>
    <w:lvl w:ilvl="0">
      <w:lvlJc w:val="left"/>
      <w:lvlText w:val="(%1)"/>
      <w:numFmt w:val="decimal"/>
      <w:start w:val="11"/>
    </w:lvl>
  </w:abstractNum>
  <w:abstractNum w:abstractNumId="25">
    <w:nsid w:val="22221A70"/>
    <w:multiLevelType w:val="hybridMultilevel"/>
    <w:lvl w:ilvl="0">
      <w:lvlJc w:val="left"/>
      <w:lvlText w:val="5"/>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3"/>
    </w:lvl>
  </w:abstractNum>
  <w:abstractNum w:abstractNumId="28">
    <w:nsid w:val="614FD4A1"/>
    <w:multiLevelType w:val="hybridMultilevel"/>
    <w:lvl w:ilvl="0">
      <w:lvlJc w:val="left"/>
      <w:lvlText w:val="(%1)"/>
      <w:numFmt w:val="decimal"/>
      <w:start w:val="9"/>
    </w:lvl>
  </w:abstractNum>
  <w:abstractNum w:abstractNumId="29">
    <w:nsid w:val="419AC241"/>
    <w:multiLevelType w:val="hybridMultilevel"/>
    <w:lvl w:ilvl="0">
      <w:lvlJc w:val="left"/>
      <w:lvlText w:val="(%1)"/>
      <w:numFmt w:val="decimal"/>
      <w:start w:val="11"/>
    </w:lvl>
  </w:abstractNum>
  <w:abstractNum w:abstractNumId="30">
    <w:nsid w:val="5577F8E1"/>
    <w:multiLevelType w:val="hybridMultilevel"/>
    <w:lvl w:ilvl="0">
      <w:lvlJc w:val="left"/>
      <w:lvlText w:val="6"/>
      <w:numFmt w:val="bullet"/>
      <w:start w:val="1"/>
    </w:lvl>
  </w:abstractNum>
  <w:abstractNum w:abstractNumId="31">
    <w:nsid w:val="440BADFC"/>
    <w:multiLevelType w:val="hybridMultilevel"/>
    <w:lvl w:ilvl="0">
      <w:lvlJc w:val="left"/>
      <w:lvlText w:val="(%1)"/>
      <w:numFmt w:val="lowerLetter"/>
      <w:start w:val="9"/>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2"/>
    </w:lvl>
  </w:abstractNum>
  <w:abstractNum w:abstractNumId="34">
    <w:nsid w:val="77465F01"/>
    <w:multiLevelType w:val="hybridMultilevel"/>
    <w:lvl w:ilvl="0">
      <w:lvlJc w:val="left"/>
      <w:lvlText w:val="%1"/>
      <w:numFmt w:val="upperLetter"/>
      <w:start w:val="29"/>
    </w:lvl>
  </w:abstractNum>
  <w:abstractNum w:abstractNumId="35">
    <w:nsid w:val="7724C67E"/>
    <w:multiLevelType w:val="hybridMultilevel"/>
    <w:lvl w:ilvl="0">
      <w:lvlJc w:val="left"/>
      <w:lvlText w:val="(%1)"/>
      <w:numFmt w:val="lowerLetter"/>
      <w:start w:val="3"/>
    </w:lvl>
    <w:lvl w:ilvl="1">
      <w:lvlJc w:val="left"/>
      <w:lvlText w:val="(%2)"/>
      <w:numFmt w:val="lowerLetter"/>
      <w:start w:val="9"/>
    </w:lvl>
  </w:abstractNum>
  <w:abstractNum w:abstractNumId="36">
    <w:nsid w:val="5C482A97"/>
    <w:multiLevelType w:val="hybridMultilevel"/>
    <w:lvl w:ilvl="0">
      <w:lvlJc w:val="left"/>
      <w:lvlText w:val="%1"/>
      <w:numFmt w:val="upperLetter"/>
      <w:start w:val="29"/>
    </w:lvl>
  </w:abstractNum>
  <w:abstractNum w:abstractNumId="37">
    <w:nsid w:val="2463B9EA"/>
    <w:multiLevelType w:val="hybridMultilevel"/>
    <w:lvl w:ilvl="0">
      <w:lvlJc w:val="left"/>
      <w:lvlText w:val="(%1)"/>
      <w:numFmt w:val="lowerRoman"/>
      <w:start w:val="3"/>
    </w:lvl>
  </w:abstractNum>
  <w:abstractNum w:abstractNumId="38">
    <w:nsid w:val="5E884ADC"/>
    <w:multiLevelType w:val="hybridMultilevel"/>
    <w:lvl w:ilvl="0">
      <w:lvlJc w:val="left"/>
      <w:lvlText w:val="%1"/>
      <w:numFmt w:val="upp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hyperlink" Target="https://www.sec.gov/Archives/edgar/data/1004434/000090572923000047/affiliatedex991_0214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2024-02-12T15:39:10Z</dcterms:created>
  <dcterms:modified xsi:type="dcterms:W3CDTF">2024-02-12T15:39:10Z</dcterms:modified>
</cp:coreProperties>
</file>