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200" w:before="0" w:after="0"/>
        <w:jc w:val="left"/>
        <w:rPr/>
      </w:pPr>
      <w:hyperlink w:anchor="ibfa0590d77ac4199aa63edb4b8813f49_7">
        <w:bookmarkStart w:id="0" w:name="amg-20251231.htm"/>
        <w:bookmarkStart w:id="1" w:name="ksamg20251231"/>
        <w:bookmarkEnd w:id="0"/>
        <w:bookmarkEnd w:id="1"/>
        <w:r>
          <w:rPr>
            <w:rStyle w:val="InternetLink"/>
            <w:rFonts w:ascii="Times New Roman;serif" w:hAnsi="Times New Roman;serif"/>
            <w:b w:val="false"/>
            <w:i w:val="false"/>
            <w:caps w:val="false"/>
            <w:smallCaps w:val="false"/>
            <w:color w:val="0000FF"/>
            <w:sz w:val="20"/>
            <w:u w:val="single"/>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UNITED STATES</w:t>
      </w:r>
    </w:p>
    <w:p>
      <w:pPr>
        <w:pStyle w:val="TextBody"/>
        <w:bidi w:val="0"/>
        <w:spacing w:lineRule="atLeast" w:line="280" w:before="0" w:after="0"/>
        <w:jc w:val="left"/>
        <w:rPr>
          <w:rFonts w:ascii="Times New Roman;serif" w:hAnsi="Times New Roman;serif"/>
          <w:b/>
          <w:i w:val="false"/>
          <w:caps w:val="false"/>
          <w:smallCaps w:val="false"/>
          <w:sz w:val="28"/>
        </w:rPr>
      </w:pPr>
      <w:r>
        <w:rPr>
          <w:rFonts w:ascii="Times New Roman;serif" w:hAnsi="Times New Roman;serif"/>
          <w:b/>
          <w:i w:val="false"/>
          <w:caps w:val="false"/>
          <w:smallCaps w:val="false"/>
          <w:sz w:val="28"/>
        </w:rPr>
        <w:t>SECURITIES AND EXCHANGE COMMISSION</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___________________________________________________________________________</w:t>
      </w:r>
    </w:p>
    <w:p>
      <w:pPr>
        <w:pStyle w:val="TextBody"/>
        <w:bidi w:val="0"/>
        <w:spacing w:lineRule="atLeast" w:line="280" w:before="0" w:after="0"/>
        <w:jc w:val="left"/>
        <w:rPr>
          <w:sz w:val="28"/>
        </w:rPr>
      </w:pPr>
      <w:r>
        <w:rPr>
          <w:rFonts w:ascii="Times New Roman;serif" w:hAnsi="Times New Roman;serif"/>
          <w:b/>
          <w:i w:val="false"/>
          <w:caps w:val="false"/>
          <w:smallCaps w:val="false"/>
          <w:sz w:val="28"/>
        </w:rPr>
        <w:t xml:space="preserve">FORM </w:t>
      </w:r>
      <w:r>
        <w:rPr>
          <w:rFonts w:ascii="Times New Roman;serif" w:hAnsi="Times New Roman;serif"/>
          <w:b/>
          <w:i w:val="false"/>
          <w:caps w:val="false"/>
          <w:smallCaps w:val="false"/>
          <w:strike w:val="false"/>
          <w:dstrike w:val="false"/>
          <w:sz w:val="28"/>
          <w:u w:val="none"/>
          <w:effect w:val="none"/>
        </w:rPr>
        <w:t>10-K</w:t>
      </w:r>
    </w:p>
    <w:tbl>
      <w:tblPr>
        <w:tblW w:w="8848" w:type="dxa"/>
        <w:jc w:val="left"/>
        <w:tblInd w:w="0" w:type="dxa"/>
        <w:tblLayout w:type="fixed"/>
        <w:tblCellMar>
          <w:top w:w="28" w:type="dxa"/>
          <w:left w:w="28" w:type="dxa"/>
          <w:bottom w:w="28" w:type="dxa"/>
          <w:right w:w="28" w:type="dxa"/>
        </w:tblCellMar>
      </w:tblPr>
      <w:tblGrid>
        <w:gridCol w:w="1111"/>
        <w:gridCol w:w="146"/>
        <w:gridCol w:w="75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91" w:type="dxa"/>
            <w:tcBorders/>
            <w:vAlign w:val="center"/>
          </w:tcPr>
          <w:p>
            <w:pPr>
              <w:pStyle w:val="TableContents"/>
              <w:bidi w:val="0"/>
              <w:spacing w:before="0" w:after="283"/>
              <w:jc w:val="left"/>
              <w:rPr>
                <w:sz w:val="4"/>
                <w:szCs w:val="4"/>
              </w:rPr>
            </w:pPr>
            <w:r>
              <w:rPr>
                <w:sz w:val="4"/>
                <w:szCs w:val="4"/>
              </w:rPr>
            </w:r>
          </w:p>
        </w:tc>
      </w:tr>
      <w:tr>
        <w:trPr/>
        <w:tc>
          <w:tcPr>
            <w:tcW w:w="111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(Mark One)</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9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11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91"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ANNUAL REPORT PURSUANT TO SECTION 13 OR 15(d) OF THE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SECURITIES EXCHANGE ACT OF 1934</w:t>
            </w:r>
          </w:p>
        </w:tc>
      </w:tr>
    </w:tbl>
    <w:p>
      <w:pPr>
        <w:pStyle w:val="TextBody"/>
        <w:bidi w:val="0"/>
        <w:spacing w:lineRule="atLeast" w:line="200" w:before="0" w:after="0"/>
        <w:jc w:val="left"/>
        <w:rPr>
          <w:sz w:val="24"/>
        </w:rPr>
      </w:pPr>
      <w:r>
        <w:rPr>
          <w:rFonts w:ascii="Times New Roman;serif" w:hAnsi="Times New Roman;serif"/>
          <w:b/>
          <w:i w:val="false"/>
          <w:caps w:val="false"/>
          <w:smallCaps w:val="false"/>
          <w:sz w:val="20"/>
        </w:rPr>
        <w:t xml:space="preserve">For the fiscal year ended </w:t>
      </w:r>
      <w:r>
        <w:rPr>
          <w:rFonts w:ascii="Times New Roman;serif" w:hAnsi="Times New Roman;serif"/>
          <w:b/>
          <w:i w:val="false"/>
          <w:caps w:val="false"/>
          <w:smallCaps w:val="false"/>
          <w:strike w:val="false"/>
          <w:dstrike w:val="false"/>
          <w:sz w:val="20"/>
          <w:u w:val="none"/>
          <w:effect w:val="none"/>
        </w:rPr>
        <w:t>December 31, 2025</w:t>
      </w:r>
      <w:r>
        <w:rPr>
          <w:caps w:val="false"/>
          <w:smallCaps w:val="false"/>
          <w:sz w:val="24"/>
        </w:rPr>
        <w:t xml:space="preserve">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OR </w:t>
      </w:r>
    </w:p>
    <w:tbl>
      <w:tblPr>
        <w:tblW w:w="8548" w:type="dxa"/>
        <w:jc w:val="left"/>
        <w:tblInd w:w="0" w:type="dxa"/>
        <w:tblLayout w:type="fixed"/>
        <w:tblCellMar>
          <w:top w:w="28" w:type="dxa"/>
          <w:left w:w="28" w:type="dxa"/>
          <w:bottom w:w="28" w:type="dxa"/>
          <w:right w:w="28" w:type="dxa"/>
        </w:tblCellMar>
      </w:tblPr>
      <w:tblGrid>
        <w:gridCol w:w="331"/>
        <w:gridCol w:w="146"/>
        <w:gridCol w:w="807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4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071" w:type="dxa"/>
            <w:tcBorders/>
            <w:vAlign w:val="center"/>
          </w:tcPr>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 xml:space="preserve">TRANSITION REPORT PURSUANT TO SECTION 13 OR 15(d) OF THE </w:t>
            </w:r>
          </w:p>
          <w:p>
            <w:pPr>
              <w:pStyle w:val="TableContents"/>
              <w:bidi w:val="0"/>
              <w:spacing w:lineRule="atLeast" w:line="240" w:before="0" w:after="0"/>
              <w:jc w:val="left"/>
              <w:rPr>
                <w:rFonts w:ascii="Times New Roman;serif" w:hAnsi="Times New Roman;serif"/>
                <w:b/>
                <w:i w:val="false"/>
                <w:caps w:val="false"/>
                <w:smallCaps w:val="false"/>
                <w:strike w:val="false"/>
                <w:dstrike w:val="false"/>
                <w:color w:val="000000"/>
                <w:sz w:val="24"/>
                <w:u w:val="none"/>
                <w:effect w:val="none"/>
              </w:rPr>
            </w:pPr>
            <w:r>
              <w:rPr>
                <w:rFonts w:ascii="Times New Roman;serif" w:hAnsi="Times New Roman;serif"/>
                <w:b/>
                <w:i w:val="false"/>
                <w:caps w:val="false"/>
                <w:smallCaps w:val="false"/>
                <w:strike w:val="false"/>
                <w:dstrike w:val="false"/>
                <w:color w:val="000000"/>
                <w:sz w:val="24"/>
                <w:u w:val="none"/>
                <w:effect w:val="none"/>
              </w:rPr>
              <w:t>SECURITIES EXCHANGE ACT OF 1934</w:t>
            </w:r>
          </w:p>
        </w:tc>
      </w:tr>
    </w:tbl>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 the transition period from            to</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Commission File Number </w:t>
      </w:r>
      <w:r>
        <w:rPr>
          <w:rFonts w:ascii="Times New Roman;serif" w:hAnsi="Times New Roman;serif"/>
          <w:b/>
          <w:i w:val="false"/>
          <w:caps w:val="false"/>
          <w:smallCaps w:val="false"/>
          <w:strike w:val="false"/>
          <w:dstrike w:val="false"/>
          <w:sz w:val="20"/>
          <w:u w:val="none"/>
          <w:effect w:val="none"/>
        </w:rPr>
        <w:t>001-13459</w:t>
      </w:r>
      <w:r>
        <w:rPr>
          <w:caps w:val="false"/>
          <w:smallCaps w:val="false"/>
          <w:sz w:val="24"/>
        </w:rPr>
        <w:t xml:space="preserve"> </w:t>
      </w:r>
    </w:p>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__________________________________________________________________________</w:t>
      </w:r>
    </w:p>
    <w:p>
      <w:pPr>
        <w:pStyle w:val="TextBody"/>
        <w:bidi w:val="0"/>
        <w:spacing w:before="0" w:after="0"/>
        <w:jc w:val="left"/>
        <w:rPr/>
      </w:pPr>
      <w:r>
        <w:rPr/>
        <w:drawing>
          <wp:inline distT="0" distB="0" distL="0" distR="0">
            <wp:extent cx="1371600" cy="5956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595630"/>
                    </a:xfrm>
                    <a:prstGeom prst="rect">
                      <a:avLst/>
                    </a:prstGeom>
                  </pic:spPr>
                </pic:pic>
              </a:graphicData>
            </a:graphic>
          </wp:inline>
        </w:drawing>
      </w:r>
      <w:bookmarkStart w:id="2" w:name="i-1"/>
      <w:bookmarkEnd w:id="2"/>
    </w:p>
    <w:p>
      <w:pPr>
        <w:pStyle w:val="TextBody"/>
        <w:bidi w:val="0"/>
        <w:spacing w:lineRule="atLeast" w:line="360" w:before="0" w:after="0"/>
        <w:jc w:val="left"/>
        <w:rPr>
          <w:rFonts w:ascii="Times New Roman;serif" w:hAnsi="Times New Roman;serif"/>
          <w:b/>
          <w:i w:val="false"/>
          <w:caps w:val="false"/>
          <w:smallCaps w:val="false"/>
          <w:strike w:val="false"/>
          <w:dstrike w:val="false"/>
          <w:sz w:val="36"/>
          <w:u w:val="none"/>
          <w:effect w:val="none"/>
        </w:rPr>
      </w:pPr>
      <w:r>
        <w:rPr>
          <w:rFonts w:ascii="Times New Roman;serif" w:hAnsi="Times New Roman;serif"/>
          <w:b/>
          <w:i w:val="false"/>
          <w:caps w:val="false"/>
          <w:smallCaps w:val="false"/>
          <w:strike w:val="false"/>
          <w:dstrike w:val="false"/>
          <w:sz w:val="36"/>
          <w:u w:val="none"/>
          <w:effect w:val="none"/>
        </w:rPr>
        <w:t xml:space="preserve">AFFILIATED MANAGERS GROUP, INC.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6193" w:type="dxa"/>
        <w:jc w:val="left"/>
        <w:tblInd w:w="0" w:type="dxa"/>
        <w:tblLayout w:type="fixed"/>
        <w:tblCellMar>
          <w:top w:w="28" w:type="dxa"/>
          <w:left w:w="28" w:type="dxa"/>
          <w:bottom w:w="28" w:type="dxa"/>
          <w:right w:w="28" w:type="dxa"/>
        </w:tblCellMar>
      </w:tblPr>
      <w:tblGrid>
        <w:gridCol w:w="2791"/>
        <w:gridCol w:w="146"/>
        <w:gridCol w:w="3256"/>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279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04-3218510</w:t>
            </w:r>
          </w:p>
        </w:tc>
      </w:tr>
      <w:tr>
        <w:trPr/>
        <w:tc>
          <w:tcPr>
            <w:tcW w:w="27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(State or other jurisdiction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of incorporation or organization)</w:t>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(IRS Employer Identification Number)</w:t>
            </w:r>
          </w:p>
        </w:tc>
      </w:tr>
    </w:tbl>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777 South Flagler Drive</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West Palm Beach</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Florida</w:t>
      </w:r>
      <w:r>
        <w:rPr>
          <w:rFonts w:ascii="Times New Roman;serif" w:hAnsi="Times New Roman;serif"/>
          <w:b/>
          <w:i w:val="false"/>
          <w:caps w:val="false"/>
          <w:smallCaps w:val="false"/>
          <w:sz w:val="20"/>
        </w:rPr>
        <w:t xml:space="preserve">, </w:t>
      </w:r>
      <w:r>
        <w:rPr>
          <w:rFonts w:ascii="Times New Roman;serif" w:hAnsi="Times New Roman;serif"/>
          <w:b/>
          <w:i w:val="false"/>
          <w:caps w:val="false"/>
          <w:smallCaps w:val="false"/>
          <w:strike w:val="false"/>
          <w:dstrike w:val="false"/>
          <w:sz w:val="20"/>
          <w:u w:val="none"/>
          <w:effect w:val="none"/>
        </w:rPr>
        <w:t>33401</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p>
      <w:pPr>
        <w:pStyle w:val="TextBody"/>
        <w:bidi w:val="0"/>
        <w:spacing w:lineRule="atLeast" w:line="200" w:before="0" w:after="0"/>
        <w:jc w:val="left"/>
        <w:rPr>
          <w:sz w:val="24"/>
        </w:rPr>
      </w:pPr>
      <w:r>
        <w:rPr>
          <w:rFonts w:ascii="Times New Roman;serif" w:hAnsi="Times New Roman;serif"/>
          <w:b/>
          <w:i w:val="false"/>
          <w:caps w:val="false"/>
          <w:smallCaps w:val="false"/>
          <w:sz w:val="20"/>
        </w:rPr>
        <w:t>(</w:t>
      </w:r>
      <w:r>
        <w:rPr>
          <w:rFonts w:ascii="Times New Roman;serif" w:hAnsi="Times New Roman;serif"/>
          <w:b/>
          <w:i w:val="false"/>
          <w:caps w:val="false"/>
          <w:smallCaps w:val="false"/>
          <w:strike w:val="false"/>
          <w:dstrike w:val="false"/>
          <w:sz w:val="20"/>
          <w:u w:val="none"/>
          <w:effect w:val="none"/>
        </w:rPr>
        <w:t>800</w:t>
      </w:r>
      <w:r>
        <w:rPr>
          <w:rFonts w:ascii="Times New Roman;serif" w:hAnsi="Times New Roman;serif"/>
          <w:b/>
          <w:i w:val="false"/>
          <w:caps w:val="false"/>
          <w:smallCaps w:val="false"/>
          <w:sz w:val="20"/>
        </w:rPr>
        <w:t>) </w:t>
      </w:r>
      <w:r>
        <w:rPr>
          <w:rFonts w:ascii="Times New Roman;serif" w:hAnsi="Times New Roman;serif"/>
          <w:b/>
          <w:i w:val="false"/>
          <w:caps w:val="false"/>
          <w:smallCaps w:val="false"/>
          <w:strike w:val="false"/>
          <w:dstrike w:val="false"/>
          <w:sz w:val="20"/>
          <w:u w:val="none"/>
          <w:effect w:val="none"/>
        </w:rPr>
        <w:t>345-1100</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8891" w:type="dxa"/>
        <w:jc w:val="left"/>
        <w:tblInd w:w="0" w:type="dxa"/>
        <w:tblLayout w:type="fixed"/>
        <w:tblCellMar>
          <w:top w:w="28" w:type="dxa"/>
          <w:left w:w="28" w:type="dxa"/>
          <w:bottom w:w="28" w:type="dxa"/>
          <w:right w:w="28" w:type="dxa"/>
        </w:tblCellMar>
      </w:tblPr>
      <w:tblGrid>
        <w:gridCol w:w="3901"/>
        <w:gridCol w:w="109"/>
        <w:gridCol w:w="1456"/>
        <w:gridCol w:w="109"/>
        <w:gridCol w:w="3316"/>
      </w:tblGrid>
      <w:tr>
        <w:trPr/>
        <w:tc>
          <w:tcPr>
            <w:tcW w:w="3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Name of each exchange on which registered</w:t>
            </w:r>
          </w:p>
        </w:tc>
      </w:tr>
      <w:tr>
        <w:trPr/>
        <w:tc>
          <w:tcPr>
            <w:tcW w:w="39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Common Stock ($0.01 par value)</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AMG</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5.875% Junior Subordinated Notes due 2059</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4.750% Junior Subordinated Notes due 2060</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MGRB</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4.200% Junior Subordinated Notes due 2061</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MGRD</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r>
        <w:trPr/>
        <w:tc>
          <w:tcPr>
            <w:tcW w:w="3901"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6.750% Junior Subordinated Notes due 2064</w:t>
            </w:r>
          </w:p>
        </w:tc>
        <w:tc>
          <w:tcPr>
            <w:tcW w:w="109"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MGRE</w:t>
            </w:r>
          </w:p>
        </w:tc>
        <w:tc>
          <w:tcPr>
            <w:tcW w:w="109"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New York Stock Exchange</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12(g) of the Act:</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None</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if the registrant is a well-known seasoned issuer, as defined in Rule 405 of the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Act.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20"/>
        </w:rPr>
        <w:t>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if the registrant is not required to file reports pursuant to Section 13 or Section 15(d)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Act. Yes ☐    </w:t>
      </w:r>
      <w:r>
        <w:rPr>
          <w:rFonts w:ascii="Times New Roman;serif" w:hAnsi="Times New Roman;serif"/>
          <w:b w:val="false"/>
          <w:i w:val="false"/>
          <w:caps w:val="false"/>
          <w:smallCaps w:val="false"/>
          <w:strike w:val="false"/>
          <w:dstrike w:val="false"/>
          <w:sz w:val="20"/>
          <w:u w:val="none"/>
          <w:effect w:val="none"/>
        </w:rPr>
        <w:t>No</w:t>
      </w:r>
      <w:r>
        <w:rPr>
          <w:caps w:val="false"/>
          <w:smallCaps w:val="false"/>
          <w:sz w:val="24"/>
        </w:rPr>
        <w: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(1) has filed all reports required to be filed by Section 13 or 15(d)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Exchange Act of 1934 during the preceding 12 months (or for such shorter period that the Registrant was required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file such reports), and (2) has been subject to such filing requirements for the past 90 days.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20"/>
        </w:rPr>
        <w:t>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submitted pursuant to Rule 405 of Regulation S-T (§ 232.405 of this chapter) during the preceding 12 months (or for such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shorter period that the registrant was required to submit such files). </w:t>
      </w:r>
      <w:r>
        <w:rPr>
          <w:rFonts w:ascii="Times New Roman;serif" w:hAnsi="Times New Roman;serif"/>
          <w:b w:val="false"/>
          <w:i w:val="false"/>
          <w:caps w:val="false"/>
          <w:smallCaps w:val="false"/>
          <w:strike w:val="false"/>
          <w:dstrike w:val="false"/>
          <w:sz w:val="20"/>
          <w:u w:val="none"/>
          <w:effect w:val="none"/>
        </w:rPr>
        <w:t>Yes</w:t>
      </w:r>
      <w:r>
        <w:rPr>
          <w:caps w:val="false"/>
          <w:smallCaps w:val="false"/>
          <w:sz w:val="24"/>
        </w:rPr>
        <w:t> ☒    </w:t>
      </w:r>
      <w:r>
        <w:rPr>
          <w:rFonts w:ascii="Times New Roman;serif" w:hAnsi="Times New Roman;serif"/>
          <w:b w:val="false"/>
          <w:i w:val="false"/>
          <w:caps w:val="false"/>
          <w:smallCaps w:val="false"/>
          <w:sz w:val="20"/>
        </w:rPr>
        <w:t>No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smaller reporting company, or emerging growth company. See the definitions of “large accelerated filer,” “accelerated filer,”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1776"/>
        <w:gridCol w:w="316"/>
        <w:gridCol w:w="146"/>
        <w:gridCol w:w="1441"/>
        <w:gridCol w:w="316"/>
        <w:gridCol w:w="146"/>
        <w:gridCol w:w="1801"/>
        <w:gridCol w:w="316"/>
        <w:gridCol w:w="146"/>
        <w:gridCol w:w="1561"/>
        <w:gridCol w:w="316"/>
        <w:gridCol w:w="109"/>
        <w:gridCol w:w="1453"/>
        <w:gridCol w:w="362"/>
      </w:tblGrid>
      <w:tr>
        <w:trPr/>
        <w:tc>
          <w:tcPr>
            <w:tcW w:w="17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r>
      <w:tr>
        <w:trPr/>
        <w:tc>
          <w:tcPr>
            <w:tcW w:w="177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Large 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4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80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Non-accelerated filer</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5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Smaller reporting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company</w:t>
            </w:r>
          </w:p>
        </w:tc>
        <w:tc>
          <w:tcPr>
            <w:tcW w:w="31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Emerging growth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company</w:t>
            </w:r>
          </w:p>
        </w:tc>
        <w:tc>
          <w:tcPr>
            <w:tcW w:w="362"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 for complying with any new or revised financial accounting standards provided pursuant to Section 13(a)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Exchange Act. ☐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has filed a report on and attestation to its management’s assessment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effectiveness of its internal control over financial reporting under Section 404(b) of the Sarbanes-Oxley Act (15 U.S.C.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7262(b)) by the registered public accounting firm that prepared or issued its audit report.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securities are registered pursuant to Section 12(b) of the Act, indicate by check mark whether the financial statements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the registrant included in the filing reflect the correction of an error to previously issued financial statements.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any of those error corrections are restatements that required a recovery analysis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incentive-based compensation received by any of the registrant’s executive officers during the relevant recovery period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pursuant to §240.10D-1(b). </w:t>
      </w:r>
      <w:r>
        <w:rPr>
          <w:caps w:val="false"/>
          <w:smallCaps w:val="false"/>
          <w:strike w:val="false"/>
          <w:dstrike w:val="false"/>
          <w:sz w:val="24"/>
          <w:u w:val="none"/>
          <w:effect w:val="none"/>
        </w:rPr>
        <w:t>☐</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Indicate by check mark whether the Registrant is a shell company (as defined in Rule 12b-2 of the Act). Yes </w:t>
      </w:r>
      <w:r>
        <w:rPr>
          <w:caps w:val="false"/>
          <w:smallCaps w:val="false"/>
          <w:strike w:val="false"/>
          <w:dstrike w:val="false"/>
          <w:sz w:val="24"/>
          <w:u w:val="none"/>
          <w:effect w:val="none"/>
        </w:rPr>
        <w:t>☐</w:t>
      </w:r>
      <w:r>
        <w:rPr>
          <w:caps w:val="false"/>
          <w:smallCaps w:val="false"/>
          <w:sz w:val="24"/>
        </w:rPr>
        <w:t>    </w:t>
      </w:r>
      <w:r>
        <w:rPr>
          <w:rFonts w:ascii="Times New Roman;serif" w:hAnsi="Times New Roman;serif"/>
          <w:b w:val="false"/>
          <w:i w:val="false"/>
          <w:caps w:val="false"/>
          <w:smallCaps w:val="false"/>
          <w:sz w:val="20"/>
        </w:rPr>
        <w:t>No </w:t>
      </w:r>
      <w:r>
        <w:rPr>
          <w:caps w:val="false"/>
          <w:smallCaps w:val="false"/>
          <w:strike w:val="false"/>
          <w:dstrike w:val="false"/>
          <w:sz w:val="24"/>
          <w:u w:val="none"/>
          <w:effect w:val="none"/>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At June 30,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the aggregate market value of the common stock held by non-affiliates of the registrant, based upon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closing price of </w:t>
      </w:r>
      <w:r>
        <w:rPr>
          <w:rFonts w:ascii="Times New Roman;serif" w:hAnsi="Times New Roman;serif"/>
          <w:b w:val="false"/>
          <w:i w:val="false"/>
          <w:caps w:val="false"/>
          <w:smallCaps w:val="false"/>
          <w:strike w:val="false"/>
          <w:dstrike w:val="false"/>
          <w:sz w:val="20"/>
          <w:u w:val="none"/>
          <w:effect w:val="none"/>
        </w:rPr>
        <w:t>$196.77</w:t>
      </w:r>
      <w:r>
        <w:rPr>
          <w:caps w:val="false"/>
          <w:smallCaps w:val="false"/>
          <w:sz w:val="24"/>
        </w:rPr>
        <w:t xml:space="preserve"> </w:t>
      </w:r>
      <w:r>
        <w:rPr>
          <w:rFonts w:ascii="Times New Roman;serif" w:hAnsi="Times New Roman;serif"/>
          <w:b w:val="false"/>
          <w:i w:val="false"/>
          <w:caps w:val="false"/>
          <w:smallCaps w:val="false"/>
          <w:sz w:val="20"/>
        </w:rPr>
        <w:t xml:space="preserve">on June 30,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on the New York Stock Exchange, was </w:t>
      </w:r>
      <w:r>
        <w:rPr>
          <w:rFonts w:ascii="Times New Roman;serif" w:hAnsi="Times New Roman;serif"/>
          <w:b w:val="false"/>
          <w:i w:val="false"/>
          <w:caps w:val="false"/>
          <w:smallCaps w:val="false"/>
          <w:strike w:val="false"/>
          <w:dstrike w:val="false"/>
          <w:sz w:val="20"/>
          <w:u w:val="none"/>
          <w:effect w:val="none"/>
        </w:rPr>
        <w:t>$5,442,489,568</w:t>
      </w:r>
      <w:r>
        <w:rPr>
          <w:rFonts w:ascii="Times New Roman;serif" w:hAnsi="Times New Roman;serif"/>
          <w:b w:val="false"/>
          <w:i w:val="false"/>
          <w:caps w:val="false"/>
          <w:smallCaps w:val="false"/>
          <w:sz w:val="20"/>
        </w:rPr>
        <w:t xml:space="preserve">.  There were </w:t>
      </w:r>
      <w:r>
        <w:rPr>
          <w:rFonts w:ascii="Times New Roman;serif" w:hAnsi="Times New Roman;serif"/>
          <w:b w:val="false"/>
          <w:i w:val="false"/>
          <w:caps w:val="false"/>
          <w:smallCaps w:val="false"/>
          <w:strike w:val="false"/>
          <w:dstrike w:val="false"/>
          <w:sz w:val="20"/>
          <w:u w:val="none"/>
          <w:effect w:val="none"/>
        </w:rPr>
        <w:t>26,684,730</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shares of the registrant’s common stock outstanding on </w:t>
      </w:r>
      <w:r>
        <w:rPr>
          <w:rFonts w:ascii="Times New Roman;serif" w:hAnsi="Times New Roman;serif"/>
          <w:b w:val="false"/>
          <w:i w:val="false"/>
          <w:caps w:val="false"/>
          <w:smallCaps w:val="false"/>
          <w:strike w:val="false"/>
          <w:dstrike w:val="false"/>
          <w:sz w:val="20"/>
          <w:u w:val="none"/>
          <w:effect w:val="none"/>
        </w:rPr>
        <w:t>February 12, 2026</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DOCUMENTS INCORPORATED BY REFERENCE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Portions of the registrant’s definitive proxy statement to be filed with the Securities and Exchange Commission within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120 days after December 31, 2025, and delivered to stockholders in connection with the registrant’s annual meeting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stockholders, are incorporated by reference into Part III of this Annual Report on Form 10-K.</w:t>
      </w:r>
    </w:p>
    <w:tbl>
      <w:tblPr>
        <w:tblW w:w="169" w:type="dxa"/>
        <w:jc w:val="left"/>
        <w:tblInd w:w="0" w:type="dxa"/>
        <w:tblLayout w:type="fixed"/>
        <w:tblCellMar>
          <w:top w:w="28" w:type="dxa"/>
          <w:left w:w="28" w:type="dxa"/>
          <w:bottom w:w="28" w:type="dxa"/>
          <w:right w:w="28"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10-K</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TABLE OF CONTENTS</w:t>
      </w:r>
    </w:p>
    <w:tbl>
      <w:tblPr>
        <w:tblW w:w="9505" w:type="dxa"/>
        <w:jc w:val="left"/>
        <w:tblInd w:w="0" w:type="dxa"/>
        <w:tblLayout w:type="fixed"/>
        <w:tblCellMar>
          <w:top w:w="28" w:type="dxa"/>
          <w:left w:w="28" w:type="dxa"/>
          <w:bottom w:w="28" w:type="dxa"/>
          <w:right w:w="28" w:type="dxa"/>
        </w:tblCellMar>
      </w:tblPr>
      <w:tblGrid>
        <w:gridCol w:w="1366"/>
        <w:gridCol w:w="146"/>
        <w:gridCol w:w="7426"/>
        <w:gridCol w:w="146"/>
        <w:gridCol w:w="421"/>
      </w:tblGrid>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pPr>
            <w:hyperlink w:anchor="ibfa0590d77ac4199aa63edb4b8813f49_10">
              <w:r>
                <w:rPr>
                  <w:rStyle w:val="InternetLink"/>
                  <w:rFonts w:ascii="Times New Roman;serif" w:hAnsi="Times New Roman;serif"/>
                  <w:b/>
                  <w:i w:val="false"/>
                  <w:caps w:val="false"/>
                  <w:smallCaps w:val="false"/>
                  <w:color w:val="0000FF"/>
                  <w:sz w:val="20"/>
                  <w:u w:val="single"/>
                </w:rPr>
                <w:t>PART I</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10">
              <w:r>
                <w:rPr>
                  <w:rStyle w:val="InternetLink"/>
                  <w:rFonts w:ascii="Times New Roman;serif" w:hAnsi="Times New Roman;serif"/>
                  <w:b w:val="false"/>
                  <w:i w:val="false"/>
                  <w:caps w:val="false"/>
                  <w:smallCaps w:val="false"/>
                  <w:color w:val="0000FF"/>
                  <w:sz w:val="20"/>
                  <w:u w:val="single"/>
                </w:rPr>
                <w:t>1</w:t>
              </w:r>
            </w:hyperlink>
          </w:p>
        </w:tc>
      </w:tr>
      <w:tr>
        <w:trPr/>
        <w:tc>
          <w:tcPr>
            <w:tcW w:w="1366" w:type="dxa"/>
            <w:tcBorders/>
            <w:vAlign w:val="center"/>
          </w:tcPr>
          <w:p>
            <w:pPr>
              <w:pStyle w:val="TableContents"/>
              <w:bidi w:val="0"/>
              <w:spacing w:lineRule="atLeast" w:line="200" w:before="0" w:after="0"/>
              <w:jc w:val="left"/>
              <w:rPr/>
            </w:pPr>
            <w:hyperlink w:anchor="ibfa0590d77ac4199aa63edb4b8813f49_16">
              <w:r>
                <w:rPr>
                  <w:rStyle w:val="InternetLink"/>
                  <w:rFonts w:ascii="Times New Roman;serif" w:hAnsi="Times New Roman;serif"/>
                  <w:b w:val="false"/>
                  <w:i w:val="false"/>
                  <w:caps w:val="false"/>
                  <w:smallCaps w:val="false"/>
                  <w:color w:val="0000FF"/>
                  <w:sz w:val="20"/>
                  <w:u w:val="single"/>
                </w:rPr>
                <w:t>Item 1.</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16">
              <w:r>
                <w:rPr>
                  <w:rStyle w:val="InternetLink"/>
                  <w:rFonts w:ascii="Times New Roman;serif" w:hAnsi="Times New Roman;serif"/>
                  <w:b w:val="false"/>
                  <w:i w:val="false"/>
                  <w:caps w:val="false"/>
                  <w:smallCaps w:val="false"/>
                  <w:color w:val="0000FF"/>
                  <w:sz w:val="20"/>
                  <w:u w:val="single"/>
                </w:rPr>
                <w:t>Business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16">
              <w:r>
                <w:rPr>
                  <w:rStyle w:val="InternetLink"/>
                  <w:rFonts w:ascii="Times New Roman;serif" w:hAnsi="Times New Roman;serif"/>
                  <w:b w:val="false"/>
                  <w:i w:val="false"/>
                  <w:caps w:val="false"/>
                  <w:smallCaps w:val="false"/>
                  <w:color w:val="0000FF"/>
                  <w:sz w:val="20"/>
                  <w:u w:val="single"/>
                </w:rPr>
                <w:t>1</w:t>
              </w:r>
            </w:hyperlink>
          </w:p>
        </w:tc>
      </w:tr>
      <w:tr>
        <w:trPr/>
        <w:tc>
          <w:tcPr>
            <w:tcW w:w="1366" w:type="dxa"/>
            <w:tcBorders/>
            <w:vAlign w:val="center"/>
          </w:tcPr>
          <w:p>
            <w:pPr>
              <w:pStyle w:val="TableContents"/>
              <w:bidi w:val="0"/>
              <w:spacing w:lineRule="atLeast" w:line="200" w:before="0" w:after="0"/>
              <w:jc w:val="left"/>
              <w:rPr/>
            </w:pPr>
            <w:hyperlink w:anchor="ibfa0590d77ac4199aa63edb4b8813f49_43">
              <w:r>
                <w:rPr>
                  <w:rStyle w:val="InternetLink"/>
                  <w:rFonts w:ascii="Times New Roman;serif" w:hAnsi="Times New Roman;serif"/>
                  <w:b w:val="false"/>
                  <w:i w:val="false"/>
                  <w:caps w:val="false"/>
                  <w:smallCaps w:val="false"/>
                  <w:color w:val="0000FF"/>
                  <w:sz w:val="20"/>
                  <w:u w:val="single"/>
                </w:rPr>
                <w:t>Item 1A.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43">
              <w:r>
                <w:rPr>
                  <w:rStyle w:val="InternetLink"/>
                  <w:rFonts w:ascii="Times New Roman;serif" w:hAnsi="Times New Roman;serif"/>
                  <w:b w:val="false"/>
                  <w:i w:val="false"/>
                  <w:caps w:val="false"/>
                  <w:smallCaps w:val="false"/>
                  <w:color w:val="0000FF"/>
                  <w:sz w:val="20"/>
                  <w:u w:val="single"/>
                </w:rPr>
                <w:t>Risk Factors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43">
              <w:r>
                <w:rPr>
                  <w:rStyle w:val="InternetLink"/>
                  <w:rFonts w:ascii="Times New Roman;serif" w:hAnsi="Times New Roman;serif"/>
                  <w:b w:val="false"/>
                  <w:i w:val="false"/>
                  <w:caps w:val="false"/>
                  <w:smallCaps w:val="false"/>
                  <w:color w:val="0000FF"/>
                  <w:sz w:val="20"/>
                  <w:u w:val="single"/>
                </w:rPr>
                <w:t>8</w:t>
              </w:r>
            </w:hyperlink>
          </w:p>
        </w:tc>
      </w:tr>
      <w:tr>
        <w:trPr/>
        <w:tc>
          <w:tcPr>
            <w:tcW w:w="1366" w:type="dxa"/>
            <w:tcBorders/>
            <w:vAlign w:val="center"/>
          </w:tcPr>
          <w:p>
            <w:pPr>
              <w:pStyle w:val="TableContents"/>
              <w:bidi w:val="0"/>
              <w:spacing w:lineRule="atLeast" w:line="200" w:before="0" w:after="0"/>
              <w:jc w:val="left"/>
              <w:rPr/>
            </w:pPr>
            <w:hyperlink w:anchor="ibfa0590d77ac4199aa63edb4b8813f49_46">
              <w:r>
                <w:rPr>
                  <w:rStyle w:val="InternetLink"/>
                  <w:rFonts w:ascii="Times New Roman;serif" w:hAnsi="Times New Roman;serif"/>
                  <w:b w:val="false"/>
                  <w:i w:val="false"/>
                  <w:caps w:val="false"/>
                  <w:smallCaps w:val="false"/>
                  <w:color w:val="0000FF"/>
                  <w:sz w:val="20"/>
                  <w:u w:val="single"/>
                </w:rPr>
                <w:t>Item 1B.</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46">
              <w:r>
                <w:rPr>
                  <w:rStyle w:val="InternetLink"/>
                  <w:rFonts w:ascii="Times New Roman;serif" w:hAnsi="Times New Roman;serif"/>
                  <w:b w:val="false"/>
                  <w:i w:val="false"/>
                  <w:caps w:val="false"/>
                  <w:smallCaps w:val="false"/>
                  <w:color w:val="0000FF"/>
                  <w:sz w:val="20"/>
                  <w:u w:val="single"/>
                </w:rPr>
                <w:t>Unresolved Staff Comments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46">
              <w:r>
                <w:rPr>
                  <w:rStyle w:val="InternetLink"/>
                  <w:rFonts w:ascii="Times New Roman;serif" w:hAnsi="Times New Roman;serif"/>
                  <w:b w:val="false"/>
                  <w:i w:val="false"/>
                  <w:caps w:val="false"/>
                  <w:smallCaps w:val="false"/>
                  <w:color w:val="0000FF"/>
                  <w:sz w:val="20"/>
                  <w:u w:val="single"/>
                </w:rPr>
                <w:t>19</w:t>
              </w:r>
            </w:hyperlink>
          </w:p>
        </w:tc>
      </w:tr>
      <w:tr>
        <w:trPr/>
        <w:tc>
          <w:tcPr>
            <w:tcW w:w="1366" w:type="dxa"/>
            <w:tcBorders/>
            <w:vAlign w:val="center"/>
          </w:tcPr>
          <w:p>
            <w:pPr>
              <w:pStyle w:val="TableContents"/>
              <w:bidi w:val="0"/>
              <w:spacing w:lineRule="atLeast" w:line="200" w:before="0" w:after="0"/>
              <w:jc w:val="left"/>
              <w:rPr/>
            </w:pPr>
            <w:hyperlink w:anchor="ibfa0590d77ac4199aa63edb4b8813f49_49">
              <w:r>
                <w:rPr>
                  <w:rStyle w:val="InternetLink"/>
                  <w:rFonts w:ascii="Times New Roman;serif" w:hAnsi="Times New Roman;serif"/>
                  <w:b w:val="false"/>
                  <w:i w:val="false"/>
                  <w:caps w:val="false"/>
                  <w:smallCaps w:val="false"/>
                  <w:color w:val="0000FF"/>
                  <w:sz w:val="20"/>
                  <w:u w:val="single"/>
                </w:rPr>
                <w:t>Item 1C.</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lineRule="atLeast" w:line="200" w:before="0" w:after="0"/>
              <w:jc w:val="left"/>
              <w:rPr/>
            </w:pPr>
            <w:hyperlink w:anchor="ibfa0590d77ac4199aa63edb4b8813f49_49">
              <w:r>
                <w:rPr>
                  <w:rStyle w:val="InternetLink"/>
                  <w:rFonts w:ascii="Times New Roman;serif" w:hAnsi="Times New Roman;serif"/>
                  <w:b w:val="false"/>
                  <w:i w:val="false"/>
                  <w:caps w:val="false"/>
                  <w:smallCaps w:val="false"/>
                  <w:color w:val="0000FF"/>
                  <w:sz w:val="20"/>
                  <w:u w:val="single"/>
                </w:rPr>
                <w:t>Cybersecurity</w:t>
              </w:r>
            </w:hyperlink>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tLeast" w:line="200" w:before="0" w:after="0"/>
              <w:jc w:val="left"/>
              <w:rPr/>
            </w:pPr>
            <w:hyperlink w:anchor="ibfa0590d77ac4199aa63edb4b8813f49_49">
              <w:r>
                <w:rPr>
                  <w:rStyle w:val="InternetLink"/>
                  <w:rFonts w:ascii="Times New Roman;serif" w:hAnsi="Times New Roman;serif"/>
                  <w:b w:val="false"/>
                  <w:i w:val="false"/>
                  <w:caps w:val="false"/>
                  <w:smallCaps w:val="false"/>
                  <w:color w:val="0000FF"/>
                  <w:sz w:val="20"/>
                  <w:u w:val="single"/>
                </w:rPr>
                <w:t>19</w:t>
              </w:r>
            </w:hyperlink>
          </w:p>
        </w:tc>
      </w:tr>
      <w:tr>
        <w:trPr/>
        <w:tc>
          <w:tcPr>
            <w:tcW w:w="1366" w:type="dxa"/>
            <w:tcBorders/>
            <w:vAlign w:val="center"/>
          </w:tcPr>
          <w:p>
            <w:pPr>
              <w:pStyle w:val="TableContents"/>
              <w:bidi w:val="0"/>
              <w:spacing w:lineRule="atLeast" w:line="200" w:before="0" w:after="0"/>
              <w:jc w:val="left"/>
              <w:rPr/>
            </w:pPr>
            <w:hyperlink w:anchor="ibfa0590d77ac4199aa63edb4b8813f49_52">
              <w:r>
                <w:rPr>
                  <w:rStyle w:val="InternetLink"/>
                  <w:rFonts w:ascii="Times New Roman;serif" w:hAnsi="Times New Roman;serif"/>
                  <w:b w:val="false"/>
                  <w:i w:val="false"/>
                  <w:caps w:val="false"/>
                  <w:smallCaps w:val="false"/>
                  <w:color w:val="0000FF"/>
                  <w:sz w:val="20"/>
                  <w:u w:val="single"/>
                </w:rPr>
                <w:t>Item 2.</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52">
              <w:r>
                <w:rPr>
                  <w:rStyle w:val="InternetLink"/>
                  <w:rFonts w:ascii="Times New Roman;serif" w:hAnsi="Times New Roman;serif"/>
                  <w:b w:val="false"/>
                  <w:i w:val="false"/>
                  <w:caps w:val="false"/>
                  <w:smallCaps w:val="false"/>
                  <w:color w:val="0000FF"/>
                  <w:sz w:val="20"/>
                  <w:u w:val="single"/>
                </w:rPr>
                <w:t>Properties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52">
              <w:r>
                <w:rPr>
                  <w:rStyle w:val="InternetLink"/>
                  <w:rFonts w:ascii="Times New Roman;serif" w:hAnsi="Times New Roman;serif"/>
                  <w:b w:val="false"/>
                  <w:i w:val="false"/>
                  <w:caps w:val="false"/>
                  <w:smallCaps w:val="false"/>
                  <w:color w:val="0000FF"/>
                  <w:sz w:val="20"/>
                  <w:u w:val="single"/>
                </w:rPr>
                <w:t>21</w:t>
              </w:r>
            </w:hyperlink>
          </w:p>
        </w:tc>
      </w:tr>
      <w:tr>
        <w:trPr/>
        <w:tc>
          <w:tcPr>
            <w:tcW w:w="1366" w:type="dxa"/>
            <w:tcBorders/>
            <w:vAlign w:val="center"/>
          </w:tcPr>
          <w:p>
            <w:pPr>
              <w:pStyle w:val="TableContents"/>
              <w:bidi w:val="0"/>
              <w:spacing w:lineRule="atLeast" w:line="200" w:before="0" w:after="0"/>
              <w:jc w:val="left"/>
              <w:rPr/>
            </w:pPr>
            <w:hyperlink w:anchor="ibfa0590d77ac4199aa63edb4b8813f49_55">
              <w:r>
                <w:rPr>
                  <w:rStyle w:val="InternetLink"/>
                  <w:rFonts w:ascii="Times New Roman;serif" w:hAnsi="Times New Roman;serif"/>
                  <w:b w:val="false"/>
                  <w:i w:val="false"/>
                  <w:caps w:val="false"/>
                  <w:smallCaps w:val="false"/>
                  <w:color w:val="0000FF"/>
                  <w:sz w:val="20"/>
                  <w:u w:val="single"/>
                </w:rPr>
                <w:t>Item 3.</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55">
              <w:r>
                <w:rPr>
                  <w:rStyle w:val="InternetLink"/>
                  <w:rFonts w:ascii="Times New Roman;serif" w:hAnsi="Times New Roman;serif"/>
                  <w:b w:val="false"/>
                  <w:i w:val="false"/>
                  <w:caps w:val="false"/>
                  <w:smallCaps w:val="false"/>
                  <w:color w:val="0000FF"/>
                  <w:sz w:val="20"/>
                  <w:u w:val="single"/>
                </w:rPr>
                <w:t>Legal Proceedings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55">
              <w:r>
                <w:rPr>
                  <w:rStyle w:val="InternetLink"/>
                  <w:rFonts w:ascii="Times New Roman;serif" w:hAnsi="Times New Roman;serif"/>
                  <w:b w:val="false"/>
                  <w:i w:val="false"/>
                  <w:caps w:val="false"/>
                  <w:smallCaps w:val="false"/>
                  <w:color w:val="0000FF"/>
                  <w:sz w:val="20"/>
                  <w:u w:val="single"/>
                </w:rPr>
                <w:t>21</w:t>
              </w:r>
            </w:hyperlink>
          </w:p>
        </w:tc>
      </w:tr>
      <w:tr>
        <w:trPr/>
        <w:tc>
          <w:tcPr>
            <w:tcW w:w="1366" w:type="dxa"/>
            <w:tcBorders/>
            <w:vAlign w:val="center"/>
          </w:tcPr>
          <w:p>
            <w:pPr>
              <w:pStyle w:val="TableContents"/>
              <w:bidi w:val="0"/>
              <w:spacing w:lineRule="atLeast" w:line="200" w:before="0" w:after="0"/>
              <w:jc w:val="left"/>
              <w:rPr/>
            </w:pPr>
            <w:hyperlink w:anchor="ibfa0590d77ac4199aa63edb4b8813f49_58">
              <w:r>
                <w:rPr>
                  <w:rStyle w:val="InternetLink"/>
                  <w:rFonts w:ascii="Times New Roman;serif" w:hAnsi="Times New Roman;serif"/>
                  <w:b w:val="false"/>
                  <w:i w:val="false"/>
                  <w:caps w:val="false"/>
                  <w:smallCaps w:val="false"/>
                  <w:color w:val="0000FF"/>
                  <w:sz w:val="20"/>
                  <w:u w:val="single"/>
                </w:rPr>
                <w:t>Item 4.</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58">
              <w:r>
                <w:rPr>
                  <w:rStyle w:val="InternetLink"/>
                  <w:rFonts w:ascii="Times New Roman;serif" w:hAnsi="Times New Roman;serif"/>
                  <w:b w:val="false"/>
                  <w:i w:val="false"/>
                  <w:caps w:val="false"/>
                  <w:smallCaps w:val="false"/>
                  <w:color w:val="0000FF"/>
                  <w:sz w:val="20"/>
                  <w:u w:val="single"/>
                </w:rPr>
                <w:t>Mine Safety Disclosures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58">
              <w:r>
                <w:rPr>
                  <w:rStyle w:val="InternetLink"/>
                  <w:rFonts w:ascii="Times New Roman;serif" w:hAnsi="Times New Roman;serif"/>
                  <w:b w:val="false"/>
                  <w:i w:val="false"/>
                  <w:caps w:val="false"/>
                  <w:smallCaps w:val="false"/>
                  <w:color w:val="0000FF"/>
                  <w:sz w:val="20"/>
                  <w:u w:val="single"/>
                </w:rPr>
                <w:t>21</w:t>
              </w:r>
            </w:hyperlink>
          </w:p>
        </w:tc>
      </w:tr>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pPr>
            <w:hyperlink w:anchor="ibfa0590d77ac4199aa63edb4b8813f49_61">
              <w:r>
                <w:rPr>
                  <w:rStyle w:val="InternetLink"/>
                  <w:rFonts w:ascii="Times New Roman;serif" w:hAnsi="Times New Roman;serif"/>
                  <w:b/>
                  <w:i w:val="false"/>
                  <w:caps w:val="false"/>
                  <w:smallCaps w:val="false"/>
                  <w:color w:val="0000FF"/>
                  <w:sz w:val="20"/>
                  <w:u w:val="single"/>
                </w:rPr>
                <w:t>PART II</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r>
              <w:rPr>
                <w:caps w:val="false"/>
                <w:smallCaps w:val="false"/>
              </w:rPr>
              <w:t> </w:t>
            </w:r>
            <w:hyperlink w:anchor="ibfa0590d77ac4199aa63edb4b8813f49_61">
              <w:r>
                <w:rPr>
                  <w:rStyle w:val="InternetLink"/>
                  <w:rFonts w:ascii="Times New Roman;serif" w:hAnsi="Times New Roman;serif"/>
                  <w:b w:val="false"/>
                  <w:i w:val="false"/>
                  <w:caps w:val="false"/>
                  <w:smallCaps w:val="false"/>
                  <w:color w:val="0000FF"/>
                  <w:sz w:val="20"/>
                  <w:u w:val="single"/>
                </w:rPr>
                <w:t>22</w:t>
              </w:r>
            </w:hyperlink>
          </w:p>
        </w:tc>
      </w:tr>
      <w:tr>
        <w:trPr/>
        <w:tc>
          <w:tcPr>
            <w:tcW w:w="1366" w:type="dxa"/>
            <w:tcBorders/>
            <w:vAlign w:val="center"/>
          </w:tcPr>
          <w:p>
            <w:pPr>
              <w:pStyle w:val="TableContents"/>
              <w:bidi w:val="0"/>
              <w:spacing w:lineRule="atLeast" w:line="200" w:before="0" w:after="0"/>
              <w:jc w:val="left"/>
              <w:rPr/>
            </w:pPr>
            <w:hyperlink w:anchor="ibfa0590d77ac4199aa63edb4b8813f49_64">
              <w:r>
                <w:rPr>
                  <w:rStyle w:val="InternetLink"/>
                  <w:rFonts w:ascii="Times New Roman;serif" w:hAnsi="Times New Roman;serif"/>
                  <w:b w:val="false"/>
                  <w:i w:val="false"/>
                  <w:caps w:val="false"/>
                  <w:smallCaps w:val="false"/>
                  <w:color w:val="0000FF"/>
                  <w:sz w:val="20"/>
                  <w:u w:val="single"/>
                </w:rPr>
                <w:t>Item 5.</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64">
              <w:r>
                <w:rPr>
                  <w:rStyle w:val="InternetLink"/>
                  <w:rFonts w:ascii="Times New Roman;serif" w:hAnsi="Times New Roman;serif"/>
                  <w:b w:val="false"/>
                  <w:i w:val="false"/>
                  <w:caps w:val="false"/>
                  <w:smallCaps w:val="false"/>
                  <w:color w:val="0000FF"/>
                  <w:sz w:val="20"/>
                  <w:u w:val="single"/>
                </w:rPr>
                <w:t xml:space="preserve">Market for Registrant's Common Equity, Related Stockholder Matters and Issuer </w:t>
              </w:r>
            </w:hyperlink>
          </w:p>
          <w:p>
            <w:pPr>
              <w:pStyle w:val="TableContents"/>
              <w:bidi w:val="0"/>
              <w:spacing w:lineRule="atLeast" w:line="200" w:before="0" w:after="0"/>
              <w:jc w:val="left"/>
              <w:rPr/>
            </w:pPr>
            <w:hyperlink w:anchor="ibfa0590d77ac4199aa63edb4b8813f49_64">
              <w:r>
                <w:rPr>
                  <w:rStyle w:val="InternetLink"/>
                  <w:rFonts w:ascii="Times New Roman;serif" w:hAnsi="Times New Roman;serif"/>
                  <w:b w:val="false"/>
                  <w:i w:val="false"/>
                  <w:caps w:val="false"/>
                  <w:smallCaps w:val="false"/>
                  <w:color w:val="0000FF"/>
                  <w:sz w:val="20"/>
                  <w:u w:val="single"/>
                </w:rPr>
                <w:t>Purchases of Equity Securities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64">
              <w:r>
                <w:rPr>
                  <w:rStyle w:val="InternetLink"/>
                  <w:rFonts w:ascii="Times New Roman;serif" w:hAnsi="Times New Roman;serif"/>
                  <w:b w:val="false"/>
                  <w:i w:val="false"/>
                  <w:caps w:val="false"/>
                  <w:smallCaps w:val="false"/>
                  <w:color w:val="0000FF"/>
                  <w:sz w:val="20"/>
                  <w:u w:val="single"/>
                </w:rPr>
                <w:t>22</w:t>
              </w:r>
            </w:hyperlink>
          </w:p>
        </w:tc>
      </w:tr>
      <w:tr>
        <w:trPr/>
        <w:tc>
          <w:tcPr>
            <w:tcW w:w="1366" w:type="dxa"/>
            <w:tcBorders/>
            <w:vAlign w:val="center"/>
          </w:tcPr>
          <w:p>
            <w:pPr>
              <w:pStyle w:val="TableContents"/>
              <w:bidi w:val="0"/>
              <w:spacing w:lineRule="atLeast" w:line="200" w:before="0" w:after="0"/>
              <w:jc w:val="left"/>
              <w:rPr/>
            </w:pPr>
            <w:hyperlink w:anchor="ibfa0590d77ac4199aa63edb4b8813f49_67">
              <w:r>
                <w:rPr>
                  <w:rStyle w:val="InternetLink"/>
                  <w:rFonts w:ascii="Times New Roman;serif" w:hAnsi="Times New Roman;serif"/>
                  <w:b w:val="false"/>
                  <w:i w:val="false"/>
                  <w:caps w:val="false"/>
                  <w:smallCaps w:val="false"/>
                  <w:color w:val="0000FF"/>
                  <w:sz w:val="20"/>
                  <w:u w:val="single"/>
                </w:rPr>
                <w:t>Item 6.</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67">
              <w:r>
                <w:rPr>
                  <w:rStyle w:val="InternetLink"/>
                  <w:rFonts w:ascii="Times New Roman;serif" w:hAnsi="Times New Roman;serif"/>
                  <w:b w:val="false"/>
                  <w:i w:val="false"/>
                  <w:caps w:val="false"/>
                  <w:smallCaps w:val="false"/>
                  <w:color w:val="0000FF"/>
                  <w:sz w:val="20"/>
                  <w:u w:val="single"/>
                </w:rPr>
                <w:t>[Reserved]</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67">
              <w:r>
                <w:rPr>
                  <w:rStyle w:val="InternetLink"/>
                  <w:rFonts w:ascii="Times New Roman;serif" w:hAnsi="Times New Roman;serif"/>
                  <w:b w:val="false"/>
                  <w:i w:val="false"/>
                  <w:caps w:val="false"/>
                  <w:smallCaps w:val="false"/>
                  <w:color w:val="0000FF"/>
                  <w:sz w:val="20"/>
                  <w:u w:val="single"/>
                </w:rPr>
                <w:t>23</w:t>
              </w:r>
            </w:hyperlink>
          </w:p>
        </w:tc>
      </w:tr>
      <w:tr>
        <w:trPr/>
        <w:tc>
          <w:tcPr>
            <w:tcW w:w="1366" w:type="dxa"/>
            <w:tcBorders/>
            <w:vAlign w:val="center"/>
          </w:tcPr>
          <w:p>
            <w:pPr>
              <w:pStyle w:val="TableContents"/>
              <w:bidi w:val="0"/>
              <w:spacing w:lineRule="atLeast" w:line="200" w:before="0" w:after="0"/>
              <w:jc w:val="left"/>
              <w:rPr/>
            </w:pPr>
            <w:hyperlink w:anchor="ibfa0590d77ac4199aa63edb4b8813f49_70">
              <w:r>
                <w:rPr>
                  <w:rStyle w:val="InternetLink"/>
                  <w:rFonts w:ascii="Times New Roman;serif" w:hAnsi="Times New Roman;serif"/>
                  <w:b w:val="false"/>
                  <w:i w:val="false"/>
                  <w:caps w:val="false"/>
                  <w:smallCaps w:val="false"/>
                  <w:color w:val="0000FF"/>
                  <w:sz w:val="20"/>
                  <w:u w:val="single"/>
                </w:rPr>
                <w:t>Item 7.</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70">
              <w:r>
                <w:rPr>
                  <w:rStyle w:val="InternetLink"/>
                  <w:rFonts w:ascii="Times New Roman;serif" w:hAnsi="Times New Roman;serif"/>
                  <w:b w:val="false"/>
                  <w:i w:val="false"/>
                  <w:caps w:val="false"/>
                  <w:smallCaps w:val="false"/>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70">
              <w:r>
                <w:rPr>
                  <w:rStyle w:val="InternetLink"/>
                  <w:rFonts w:ascii="Times New Roman;serif" w:hAnsi="Times New Roman;serif"/>
                  <w:b w:val="false"/>
                  <w:i w:val="false"/>
                  <w:caps w:val="false"/>
                  <w:smallCaps w:val="false"/>
                  <w:color w:val="0000FF"/>
                  <w:sz w:val="20"/>
                  <w:u w:val="single"/>
                </w:rPr>
                <w:t>24</w:t>
              </w:r>
            </w:hyperlink>
          </w:p>
        </w:tc>
      </w:tr>
      <w:tr>
        <w:trPr/>
        <w:tc>
          <w:tcPr>
            <w:tcW w:w="1366" w:type="dxa"/>
            <w:tcBorders/>
            <w:vAlign w:val="center"/>
          </w:tcPr>
          <w:p>
            <w:pPr>
              <w:pStyle w:val="TableContents"/>
              <w:bidi w:val="0"/>
              <w:spacing w:lineRule="atLeast" w:line="200" w:before="0" w:after="0"/>
              <w:jc w:val="left"/>
              <w:rPr/>
            </w:pPr>
            <w:hyperlink w:anchor="ibfa0590d77ac4199aa63edb4b8813f49_133">
              <w:r>
                <w:rPr>
                  <w:rStyle w:val="InternetLink"/>
                  <w:rFonts w:ascii="Times New Roman;serif" w:hAnsi="Times New Roman;serif"/>
                  <w:b w:val="false"/>
                  <w:i w:val="false"/>
                  <w:caps w:val="false"/>
                  <w:smallCaps w:val="false"/>
                  <w:color w:val="0000FF"/>
                  <w:sz w:val="20"/>
                  <w:u w:val="single"/>
                </w:rPr>
                <w:t>Item 7A.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133">
              <w:r>
                <w:rPr>
                  <w:rStyle w:val="InternetLink"/>
                  <w:rFonts w:ascii="Times New Roman;serif" w:hAnsi="Times New Roman;serif"/>
                  <w:b w:val="false"/>
                  <w:i w:val="false"/>
                  <w:caps w:val="false"/>
                  <w:smallCaps w:val="false"/>
                  <w:color w:val="0000FF"/>
                  <w:sz w:val="20"/>
                  <w:u w:val="single"/>
                </w:rPr>
                <w:t>Quantitative and Qualitative Disclosures About Market Risk</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133">
              <w:r>
                <w:rPr>
                  <w:rStyle w:val="InternetLink"/>
                  <w:rFonts w:ascii="Times New Roman;serif" w:hAnsi="Times New Roman;serif"/>
                  <w:b w:val="false"/>
                  <w:i w:val="false"/>
                  <w:caps w:val="false"/>
                  <w:smallCaps w:val="false"/>
                  <w:color w:val="0000FF"/>
                  <w:sz w:val="20"/>
                  <w:u w:val="single"/>
                </w:rPr>
                <w:t>40</w:t>
              </w:r>
            </w:hyperlink>
          </w:p>
        </w:tc>
      </w:tr>
      <w:tr>
        <w:trPr/>
        <w:tc>
          <w:tcPr>
            <w:tcW w:w="1366" w:type="dxa"/>
            <w:tcBorders/>
            <w:vAlign w:val="center"/>
          </w:tcPr>
          <w:p>
            <w:pPr>
              <w:pStyle w:val="TableContents"/>
              <w:bidi w:val="0"/>
              <w:spacing w:lineRule="atLeast" w:line="200" w:before="0" w:after="0"/>
              <w:jc w:val="left"/>
              <w:rPr/>
            </w:pPr>
            <w:hyperlink w:anchor="ibfa0590d77ac4199aa63edb4b8813f49_136">
              <w:r>
                <w:rPr>
                  <w:rStyle w:val="InternetLink"/>
                  <w:rFonts w:ascii="Times New Roman;serif" w:hAnsi="Times New Roman;serif"/>
                  <w:b w:val="false"/>
                  <w:i w:val="false"/>
                  <w:caps w:val="false"/>
                  <w:smallCaps w:val="false"/>
                  <w:color w:val="0000FF"/>
                  <w:sz w:val="20"/>
                  <w:u w:val="single"/>
                </w:rPr>
                <w:t>Item 8.</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136">
              <w:r>
                <w:rPr>
                  <w:rStyle w:val="InternetLink"/>
                  <w:rFonts w:ascii="Times New Roman;serif" w:hAnsi="Times New Roman;serif"/>
                  <w:b w:val="false"/>
                  <w:i w:val="false"/>
                  <w:caps w:val="false"/>
                  <w:smallCaps w:val="false"/>
                  <w:color w:val="0000FF"/>
                  <w:sz w:val="20"/>
                  <w:u w:val="single"/>
                </w:rPr>
                <w:t>Financial Statements and Supplementary Data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136">
              <w:r>
                <w:rPr>
                  <w:rStyle w:val="InternetLink"/>
                  <w:rFonts w:ascii="Times New Roman;serif" w:hAnsi="Times New Roman;serif"/>
                  <w:b w:val="false"/>
                  <w:i w:val="false"/>
                  <w:caps w:val="false"/>
                  <w:smallCaps w:val="false"/>
                  <w:color w:val="0000FF"/>
                  <w:sz w:val="20"/>
                  <w:u w:val="single"/>
                </w:rPr>
                <w:t>41</w:t>
              </w:r>
            </w:hyperlink>
          </w:p>
        </w:tc>
      </w:tr>
      <w:tr>
        <w:trPr/>
        <w:tc>
          <w:tcPr>
            <w:tcW w:w="1366" w:type="dxa"/>
            <w:tcBorders/>
            <w:vAlign w:val="center"/>
          </w:tcPr>
          <w:p>
            <w:pPr>
              <w:pStyle w:val="TableContents"/>
              <w:bidi w:val="0"/>
              <w:spacing w:lineRule="atLeast" w:line="200" w:before="0" w:after="0"/>
              <w:jc w:val="left"/>
              <w:rPr/>
            </w:pPr>
            <w:hyperlink w:anchor="ibfa0590d77ac4199aa63edb4b8813f49_238">
              <w:r>
                <w:rPr>
                  <w:rStyle w:val="InternetLink"/>
                  <w:rFonts w:ascii="Times New Roman;serif" w:hAnsi="Times New Roman;serif"/>
                  <w:b w:val="false"/>
                  <w:i w:val="false"/>
                  <w:caps w:val="false"/>
                  <w:smallCaps w:val="false"/>
                  <w:color w:val="0000FF"/>
                  <w:sz w:val="20"/>
                  <w:u w:val="single"/>
                </w:rPr>
                <w:t>Item 9.</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38">
              <w:r>
                <w:rPr>
                  <w:rStyle w:val="InternetLink"/>
                  <w:rFonts w:ascii="Times New Roman;serif" w:hAnsi="Times New Roman;serif"/>
                  <w:b w:val="false"/>
                  <w:i w:val="false"/>
                  <w:caps w:val="false"/>
                  <w:smallCaps w:val="false"/>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38">
              <w:r>
                <w:rPr>
                  <w:rStyle w:val="InternetLink"/>
                  <w:rFonts w:ascii="Times New Roman;serif" w:hAnsi="Times New Roman;serif"/>
                  <w:b w:val="false"/>
                  <w:i w:val="false"/>
                  <w:caps w:val="false"/>
                  <w:smallCaps w:val="false"/>
                  <w:color w:val="0000FF"/>
                  <w:sz w:val="20"/>
                  <w:u w:val="single"/>
                </w:rPr>
                <w:t>83</w:t>
              </w:r>
            </w:hyperlink>
          </w:p>
        </w:tc>
      </w:tr>
      <w:tr>
        <w:trPr/>
        <w:tc>
          <w:tcPr>
            <w:tcW w:w="1366" w:type="dxa"/>
            <w:tcBorders/>
            <w:vAlign w:val="center"/>
          </w:tcPr>
          <w:p>
            <w:pPr>
              <w:pStyle w:val="TableContents"/>
              <w:bidi w:val="0"/>
              <w:spacing w:lineRule="atLeast" w:line="200" w:before="0" w:after="0"/>
              <w:jc w:val="left"/>
              <w:rPr/>
            </w:pPr>
            <w:hyperlink w:anchor="ibfa0590d77ac4199aa63edb4b8813f49_241">
              <w:r>
                <w:rPr>
                  <w:rStyle w:val="InternetLink"/>
                  <w:rFonts w:ascii="Times New Roman;serif" w:hAnsi="Times New Roman;serif"/>
                  <w:b w:val="false"/>
                  <w:i w:val="false"/>
                  <w:caps w:val="false"/>
                  <w:smallCaps w:val="false"/>
                  <w:color w:val="0000FF"/>
                  <w:sz w:val="20"/>
                  <w:u w:val="single"/>
                </w:rPr>
                <w:t>Item 9A.</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41">
              <w:r>
                <w:rPr>
                  <w:rStyle w:val="InternetLink"/>
                  <w:rFonts w:ascii="Times New Roman;serif" w:hAnsi="Times New Roman;serif"/>
                  <w:b w:val="false"/>
                  <w:i w:val="false"/>
                  <w:caps w:val="false"/>
                  <w:smallCaps w:val="false"/>
                  <w:color w:val="0000FF"/>
                  <w:sz w:val="20"/>
                  <w:u w:val="single"/>
                </w:rPr>
                <w:t>Controls and Procedures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41">
              <w:r>
                <w:rPr>
                  <w:rStyle w:val="InternetLink"/>
                  <w:rFonts w:ascii="Times New Roman;serif" w:hAnsi="Times New Roman;serif"/>
                  <w:b w:val="false"/>
                  <w:i w:val="false"/>
                  <w:caps w:val="false"/>
                  <w:smallCaps w:val="false"/>
                  <w:color w:val="0000FF"/>
                  <w:sz w:val="20"/>
                  <w:u w:val="single"/>
                </w:rPr>
                <w:t>83</w:t>
              </w:r>
            </w:hyperlink>
          </w:p>
        </w:tc>
      </w:tr>
      <w:tr>
        <w:trPr/>
        <w:tc>
          <w:tcPr>
            <w:tcW w:w="1366" w:type="dxa"/>
            <w:tcBorders/>
            <w:vAlign w:val="center"/>
          </w:tcPr>
          <w:p>
            <w:pPr>
              <w:pStyle w:val="TableContents"/>
              <w:bidi w:val="0"/>
              <w:spacing w:lineRule="atLeast" w:line="200" w:before="0" w:after="0"/>
              <w:jc w:val="left"/>
              <w:rPr/>
            </w:pPr>
            <w:hyperlink w:anchor="ibfa0590d77ac4199aa63edb4b8813f49_244">
              <w:r>
                <w:rPr>
                  <w:rStyle w:val="InternetLink"/>
                  <w:rFonts w:ascii="Times New Roman;serif" w:hAnsi="Times New Roman;serif"/>
                  <w:b w:val="false"/>
                  <w:i w:val="false"/>
                  <w:caps w:val="false"/>
                  <w:smallCaps w:val="false"/>
                  <w:color w:val="0000FF"/>
                  <w:sz w:val="20"/>
                  <w:u w:val="single"/>
                </w:rPr>
                <w:t>Item 9B.</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44">
              <w:r>
                <w:rPr>
                  <w:rStyle w:val="InternetLink"/>
                  <w:rFonts w:ascii="Times New Roman;serif" w:hAnsi="Times New Roman;serif"/>
                  <w:b w:val="false"/>
                  <w:i w:val="false"/>
                  <w:caps w:val="false"/>
                  <w:smallCaps w:val="false"/>
                  <w:color w:val="0000FF"/>
                  <w:sz w:val="20"/>
                  <w:u w:val="single"/>
                </w:rPr>
                <w:t>Other Information</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44">
              <w:r>
                <w:rPr>
                  <w:rStyle w:val="InternetLink"/>
                  <w:rFonts w:ascii="Times New Roman;serif" w:hAnsi="Times New Roman;serif"/>
                  <w:b w:val="false"/>
                  <w:i w:val="false"/>
                  <w:caps w:val="false"/>
                  <w:smallCaps w:val="false"/>
                  <w:color w:val="0000FF"/>
                  <w:sz w:val="20"/>
                  <w:u w:val="single"/>
                </w:rPr>
                <w:t>83</w:t>
              </w:r>
            </w:hyperlink>
          </w:p>
        </w:tc>
      </w:tr>
      <w:tr>
        <w:trPr/>
        <w:tc>
          <w:tcPr>
            <w:tcW w:w="1366" w:type="dxa"/>
            <w:tcBorders/>
            <w:vAlign w:val="center"/>
          </w:tcPr>
          <w:p>
            <w:pPr>
              <w:pStyle w:val="TableContents"/>
              <w:bidi w:val="0"/>
              <w:spacing w:lineRule="atLeast" w:line="200" w:before="0" w:after="0"/>
              <w:jc w:val="left"/>
              <w:rPr/>
            </w:pPr>
            <w:hyperlink w:anchor="ibfa0590d77ac4199aa63edb4b8813f49_247">
              <w:r>
                <w:rPr>
                  <w:rStyle w:val="InternetLink"/>
                  <w:rFonts w:ascii="Times New Roman;serif" w:hAnsi="Times New Roman;serif"/>
                  <w:b w:val="false"/>
                  <w:i w:val="false"/>
                  <w:caps w:val="false"/>
                  <w:smallCaps w:val="false"/>
                  <w:color w:val="0000FF"/>
                  <w:sz w:val="20"/>
                  <w:u w:val="single"/>
                </w:rPr>
                <w:t>Item 9C.</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lineRule="atLeast" w:line="200" w:before="0" w:after="0"/>
              <w:jc w:val="left"/>
              <w:rPr/>
            </w:pPr>
            <w:hyperlink w:anchor="ibfa0590d77ac4199aa63edb4b8813f49_247">
              <w:r>
                <w:rPr>
                  <w:rStyle w:val="InternetLink"/>
                  <w:rFonts w:ascii="Times New Roman;serif" w:hAnsi="Times New Roman;serif"/>
                  <w:b w:val="false"/>
                  <w:i w:val="false"/>
                  <w:caps w:val="false"/>
                  <w:smallCaps w:val="false"/>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tLeast" w:line="200" w:before="0" w:after="0"/>
              <w:jc w:val="left"/>
              <w:rPr/>
            </w:pPr>
            <w:hyperlink w:anchor="ibfa0590d77ac4199aa63edb4b8813f49_247">
              <w:r>
                <w:rPr>
                  <w:rStyle w:val="InternetLink"/>
                  <w:rFonts w:ascii="Times New Roman;serif" w:hAnsi="Times New Roman;serif"/>
                  <w:b w:val="false"/>
                  <w:i w:val="false"/>
                  <w:caps w:val="false"/>
                  <w:smallCaps w:val="false"/>
                  <w:color w:val="0000FF"/>
                  <w:sz w:val="20"/>
                  <w:u w:val="single"/>
                </w:rPr>
                <w:t>83</w:t>
              </w:r>
            </w:hyperlink>
          </w:p>
        </w:tc>
      </w:tr>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pPr>
            <w:hyperlink w:anchor="ibfa0590d77ac4199aa63edb4b8813f49_250">
              <w:r>
                <w:rPr>
                  <w:rStyle w:val="InternetLink"/>
                  <w:rFonts w:ascii="Times New Roman;serif" w:hAnsi="Times New Roman;serif"/>
                  <w:b/>
                  <w:i w:val="false"/>
                  <w:caps w:val="false"/>
                  <w:smallCaps w:val="false"/>
                  <w:color w:val="0000FF"/>
                  <w:sz w:val="20"/>
                  <w:u w:val="single"/>
                </w:rPr>
                <w:t>PART III</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r>
              <w:rPr>
                <w:caps w:val="false"/>
                <w:smallCaps w:val="false"/>
              </w:rPr>
              <w:t> </w:t>
            </w:r>
            <w:hyperlink w:anchor="ibfa0590d77ac4199aa63edb4b8813f49_250">
              <w:r>
                <w:rPr>
                  <w:rStyle w:val="InternetLink"/>
                  <w:rFonts w:ascii="Times New Roman;serif" w:hAnsi="Times New Roman;serif"/>
                  <w:b w:val="false"/>
                  <w:i w:val="false"/>
                  <w:caps w:val="false"/>
                  <w:smallCaps w:val="false"/>
                  <w:color w:val="0000FF"/>
                  <w:sz w:val="20"/>
                  <w:u w:val="single"/>
                </w:rPr>
                <w:t>84</w:t>
              </w:r>
            </w:hyperlink>
          </w:p>
        </w:tc>
      </w:tr>
      <w:tr>
        <w:trPr/>
        <w:tc>
          <w:tcPr>
            <w:tcW w:w="1366" w:type="dxa"/>
            <w:tcBorders/>
            <w:vAlign w:val="center"/>
          </w:tcPr>
          <w:p>
            <w:pPr>
              <w:pStyle w:val="TableContents"/>
              <w:bidi w:val="0"/>
              <w:spacing w:lineRule="atLeast" w:line="200" w:before="0" w:after="0"/>
              <w:jc w:val="left"/>
              <w:rPr/>
            </w:pPr>
            <w:hyperlink w:anchor="ibfa0590d77ac4199aa63edb4b8813f49_253">
              <w:r>
                <w:rPr>
                  <w:rStyle w:val="InternetLink"/>
                  <w:rFonts w:ascii="Times New Roman;serif" w:hAnsi="Times New Roman;serif"/>
                  <w:b w:val="false"/>
                  <w:i w:val="false"/>
                  <w:caps w:val="false"/>
                  <w:smallCaps w:val="false"/>
                  <w:color w:val="0000FF"/>
                  <w:sz w:val="20"/>
                  <w:u w:val="single"/>
                </w:rPr>
                <w:t>Item 10.</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53">
              <w:r>
                <w:rPr>
                  <w:rStyle w:val="InternetLink"/>
                  <w:rFonts w:ascii="Times New Roman;serif" w:hAnsi="Times New Roman;serif"/>
                  <w:b w:val="false"/>
                  <w:i w:val="false"/>
                  <w:caps w:val="false"/>
                  <w:smallCaps w:val="false"/>
                  <w:color w:val="0000FF"/>
                  <w:sz w:val="20"/>
                  <w:u w:val="single"/>
                </w:rPr>
                <w:t>Directors, Executive Officers and Corporate Governance</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53">
              <w:r>
                <w:rPr>
                  <w:rStyle w:val="InternetLink"/>
                  <w:rFonts w:ascii="Times New Roman;serif" w:hAnsi="Times New Roman;serif"/>
                  <w:b w:val="false"/>
                  <w:i w:val="false"/>
                  <w:caps w:val="false"/>
                  <w:smallCaps w:val="false"/>
                  <w:color w:val="0000FF"/>
                  <w:sz w:val="20"/>
                  <w:u w:val="single"/>
                </w:rPr>
                <w:t>84</w:t>
              </w:r>
            </w:hyperlink>
          </w:p>
        </w:tc>
      </w:tr>
      <w:tr>
        <w:trPr/>
        <w:tc>
          <w:tcPr>
            <w:tcW w:w="1366" w:type="dxa"/>
            <w:tcBorders/>
            <w:vAlign w:val="center"/>
          </w:tcPr>
          <w:p>
            <w:pPr>
              <w:pStyle w:val="TableContents"/>
              <w:bidi w:val="0"/>
              <w:spacing w:lineRule="atLeast" w:line="200" w:before="0" w:after="0"/>
              <w:jc w:val="left"/>
              <w:rPr/>
            </w:pPr>
            <w:hyperlink w:anchor="ibfa0590d77ac4199aa63edb4b8813f49_256">
              <w:r>
                <w:rPr>
                  <w:rStyle w:val="InternetLink"/>
                  <w:rFonts w:ascii="Times New Roman;serif" w:hAnsi="Times New Roman;serif"/>
                  <w:b w:val="false"/>
                  <w:i w:val="false"/>
                  <w:caps w:val="false"/>
                  <w:smallCaps w:val="false"/>
                  <w:color w:val="0000FF"/>
                  <w:sz w:val="20"/>
                  <w:u w:val="single"/>
                </w:rPr>
                <w:t>Item 11.</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56">
              <w:r>
                <w:rPr>
                  <w:rStyle w:val="InternetLink"/>
                  <w:rFonts w:ascii="Times New Roman;serif" w:hAnsi="Times New Roman;serif"/>
                  <w:b w:val="false"/>
                  <w:i w:val="false"/>
                  <w:caps w:val="false"/>
                  <w:smallCaps w:val="false"/>
                  <w:color w:val="0000FF"/>
                  <w:sz w:val="20"/>
                  <w:u w:val="single"/>
                </w:rPr>
                <w:t>Executive Compensation</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56">
              <w:r>
                <w:rPr>
                  <w:rStyle w:val="InternetLink"/>
                  <w:rFonts w:ascii="Times New Roman;serif" w:hAnsi="Times New Roman;serif"/>
                  <w:b w:val="false"/>
                  <w:i w:val="false"/>
                  <w:caps w:val="false"/>
                  <w:smallCaps w:val="false"/>
                  <w:color w:val="0000FF"/>
                  <w:sz w:val="20"/>
                  <w:u w:val="single"/>
                </w:rPr>
                <w:t>84</w:t>
              </w:r>
            </w:hyperlink>
          </w:p>
        </w:tc>
      </w:tr>
      <w:tr>
        <w:trPr/>
        <w:tc>
          <w:tcPr>
            <w:tcW w:w="1366" w:type="dxa"/>
            <w:tcBorders/>
            <w:vAlign w:val="center"/>
          </w:tcPr>
          <w:p>
            <w:pPr>
              <w:pStyle w:val="TableContents"/>
              <w:bidi w:val="0"/>
              <w:spacing w:lineRule="atLeast" w:line="200" w:before="0" w:after="0"/>
              <w:jc w:val="left"/>
              <w:rPr/>
            </w:pPr>
            <w:hyperlink w:anchor="ibfa0590d77ac4199aa63edb4b8813f49_259">
              <w:r>
                <w:rPr>
                  <w:rStyle w:val="InternetLink"/>
                  <w:rFonts w:ascii="Times New Roman;serif" w:hAnsi="Times New Roman;serif"/>
                  <w:b w:val="false"/>
                  <w:i w:val="false"/>
                  <w:caps w:val="false"/>
                  <w:smallCaps w:val="false"/>
                  <w:color w:val="0000FF"/>
                  <w:sz w:val="20"/>
                  <w:u w:val="single"/>
                </w:rPr>
                <w:t>Item 12.</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59">
              <w:r>
                <w:rPr>
                  <w:rStyle w:val="InternetLink"/>
                  <w:rFonts w:ascii="Times New Roman;serif" w:hAnsi="Times New Roman;serif"/>
                  <w:b w:val="false"/>
                  <w:i w:val="false"/>
                  <w:caps w:val="false"/>
                  <w:smallCaps w:val="false"/>
                  <w:color w:val="0000FF"/>
                  <w:sz w:val="20"/>
                  <w:u w:val="single"/>
                </w:rPr>
                <w:t xml:space="preserve">Security Ownership of Certain Beneficial Owners and Management and Related </w:t>
              </w:r>
            </w:hyperlink>
          </w:p>
          <w:p>
            <w:pPr>
              <w:pStyle w:val="TableContents"/>
              <w:bidi w:val="0"/>
              <w:spacing w:lineRule="atLeast" w:line="200" w:before="0" w:after="0"/>
              <w:jc w:val="left"/>
              <w:rPr/>
            </w:pPr>
            <w:hyperlink w:anchor="ibfa0590d77ac4199aa63edb4b8813f49_259">
              <w:r>
                <w:rPr>
                  <w:rStyle w:val="InternetLink"/>
                  <w:rFonts w:ascii="Times New Roman;serif" w:hAnsi="Times New Roman;serif"/>
                  <w:b w:val="false"/>
                  <w:i w:val="false"/>
                  <w:caps w:val="false"/>
                  <w:smallCaps w:val="false"/>
                  <w:color w:val="0000FF"/>
                  <w:sz w:val="20"/>
                  <w:u w:val="single"/>
                </w:rPr>
                <w:t>Stockholder Matters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59">
              <w:r>
                <w:rPr>
                  <w:rStyle w:val="InternetLink"/>
                  <w:rFonts w:ascii="Times New Roman;serif" w:hAnsi="Times New Roman;serif"/>
                  <w:b w:val="false"/>
                  <w:i w:val="false"/>
                  <w:caps w:val="false"/>
                  <w:smallCaps w:val="false"/>
                  <w:color w:val="0000FF"/>
                  <w:sz w:val="20"/>
                  <w:u w:val="single"/>
                </w:rPr>
                <w:t>84</w:t>
              </w:r>
            </w:hyperlink>
          </w:p>
        </w:tc>
      </w:tr>
      <w:tr>
        <w:trPr/>
        <w:tc>
          <w:tcPr>
            <w:tcW w:w="1366" w:type="dxa"/>
            <w:tcBorders/>
            <w:vAlign w:val="center"/>
          </w:tcPr>
          <w:p>
            <w:pPr>
              <w:pStyle w:val="TableContents"/>
              <w:bidi w:val="0"/>
              <w:spacing w:lineRule="atLeast" w:line="200" w:before="0" w:after="0"/>
              <w:jc w:val="left"/>
              <w:rPr/>
            </w:pPr>
            <w:hyperlink w:anchor="ibfa0590d77ac4199aa63edb4b8813f49_262">
              <w:r>
                <w:rPr>
                  <w:rStyle w:val="InternetLink"/>
                  <w:rFonts w:ascii="Times New Roman;serif" w:hAnsi="Times New Roman;serif"/>
                  <w:b w:val="false"/>
                  <w:i w:val="false"/>
                  <w:caps w:val="false"/>
                  <w:smallCaps w:val="false"/>
                  <w:color w:val="0000FF"/>
                  <w:sz w:val="20"/>
                  <w:u w:val="single"/>
                </w:rPr>
                <w:t>Item 13.</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62">
              <w:r>
                <w:rPr>
                  <w:rStyle w:val="InternetLink"/>
                  <w:rFonts w:ascii="Times New Roman;serif" w:hAnsi="Times New Roman;serif"/>
                  <w:b w:val="false"/>
                  <w:i w:val="false"/>
                  <w:caps w:val="false"/>
                  <w:smallCaps w:val="false"/>
                  <w:color w:val="0000FF"/>
                  <w:sz w:val="20"/>
                  <w:u w:val="single"/>
                </w:rPr>
                <w:t>Certain Relationships and Related Transactions, and Director Independence</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62">
              <w:r>
                <w:rPr>
                  <w:rStyle w:val="InternetLink"/>
                  <w:rFonts w:ascii="Times New Roman;serif" w:hAnsi="Times New Roman;serif"/>
                  <w:b w:val="false"/>
                  <w:i w:val="false"/>
                  <w:caps w:val="false"/>
                  <w:smallCaps w:val="false"/>
                  <w:color w:val="0000FF"/>
                  <w:sz w:val="20"/>
                  <w:u w:val="single"/>
                </w:rPr>
                <w:t>84</w:t>
              </w:r>
            </w:hyperlink>
          </w:p>
        </w:tc>
      </w:tr>
      <w:tr>
        <w:trPr/>
        <w:tc>
          <w:tcPr>
            <w:tcW w:w="1366" w:type="dxa"/>
            <w:tcBorders/>
            <w:vAlign w:val="center"/>
          </w:tcPr>
          <w:p>
            <w:pPr>
              <w:pStyle w:val="TableContents"/>
              <w:bidi w:val="0"/>
              <w:spacing w:lineRule="atLeast" w:line="200" w:before="0" w:after="0"/>
              <w:jc w:val="left"/>
              <w:rPr/>
            </w:pPr>
            <w:hyperlink w:anchor="ibfa0590d77ac4199aa63edb4b8813f49_265">
              <w:r>
                <w:rPr>
                  <w:rStyle w:val="InternetLink"/>
                  <w:rFonts w:ascii="Times New Roman;serif" w:hAnsi="Times New Roman;serif"/>
                  <w:b w:val="false"/>
                  <w:i w:val="false"/>
                  <w:caps w:val="false"/>
                  <w:smallCaps w:val="false"/>
                  <w:color w:val="0000FF"/>
                  <w:sz w:val="20"/>
                  <w:u w:val="single"/>
                </w:rPr>
                <w:t>Item 14.</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65">
              <w:r>
                <w:rPr>
                  <w:rStyle w:val="InternetLink"/>
                  <w:rFonts w:ascii="Times New Roman;serif" w:hAnsi="Times New Roman;serif"/>
                  <w:b w:val="false"/>
                  <w:i w:val="false"/>
                  <w:caps w:val="false"/>
                  <w:smallCaps w:val="false"/>
                  <w:color w:val="0000FF"/>
                  <w:sz w:val="20"/>
                  <w:u w:val="single"/>
                </w:rPr>
                <w:t>Principal Accountant Fees and Services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65">
              <w:r>
                <w:rPr>
                  <w:rStyle w:val="InternetLink"/>
                  <w:rFonts w:ascii="Times New Roman;serif" w:hAnsi="Times New Roman;serif"/>
                  <w:b w:val="false"/>
                  <w:i w:val="false"/>
                  <w:caps w:val="false"/>
                  <w:smallCaps w:val="false"/>
                  <w:color w:val="0000FF"/>
                  <w:sz w:val="20"/>
                  <w:u w:val="single"/>
                </w:rPr>
                <w:t>84</w:t>
              </w:r>
            </w:hyperlink>
          </w:p>
        </w:tc>
      </w:tr>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pPr>
            <w:hyperlink w:anchor="ibfa0590d77ac4199aa63edb4b8813f49_268">
              <w:r>
                <w:rPr>
                  <w:rStyle w:val="InternetLink"/>
                  <w:rFonts w:ascii="Times New Roman;serif" w:hAnsi="Times New Roman;serif"/>
                  <w:b/>
                  <w:i w:val="false"/>
                  <w:caps w:val="false"/>
                  <w:smallCaps w:val="false"/>
                  <w:color w:val="0000FF"/>
                  <w:sz w:val="20"/>
                  <w:u w:val="single"/>
                </w:rPr>
                <w:t>PART IV</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r>
              <w:rPr>
                <w:caps w:val="false"/>
                <w:smallCaps w:val="false"/>
              </w:rPr>
              <w:t> </w:t>
            </w:r>
            <w:hyperlink w:anchor="ibfa0590d77ac4199aa63edb4b8813f49_268">
              <w:r>
                <w:rPr>
                  <w:rStyle w:val="InternetLink"/>
                  <w:rFonts w:ascii="Times New Roman;serif" w:hAnsi="Times New Roman;serif"/>
                  <w:b w:val="false"/>
                  <w:i w:val="false"/>
                  <w:caps w:val="false"/>
                  <w:smallCaps w:val="false"/>
                  <w:color w:val="0000FF"/>
                  <w:sz w:val="20"/>
                  <w:u w:val="single"/>
                </w:rPr>
                <w:t>85</w:t>
              </w:r>
            </w:hyperlink>
          </w:p>
        </w:tc>
      </w:tr>
      <w:tr>
        <w:trPr/>
        <w:tc>
          <w:tcPr>
            <w:tcW w:w="1366" w:type="dxa"/>
            <w:tcBorders/>
            <w:vAlign w:val="center"/>
          </w:tcPr>
          <w:p>
            <w:pPr>
              <w:pStyle w:val="TableContents"/>
              <w:bidi w:val="0"/>
              <w:spacing w:lineRule="atLeast" w:line="200" w:before="0" w:after="0"/>
              <w:jc w:val="left"/>
              <w:rPr/>
            </w:pPr>
            <w:hyperlink w:anchor="ibfa0590d77ac4199aa63edb4b8813f49_271">
              <w:r>
                <w:rPr>
                  <w:rStyle w:val="InternetLink"/>
                  <w:rFonts w:ascii="Times New Roman;serif" w:hAnsi="Times New Roman;serif"/>
                  <w:b w:val="false"/>
                  <w:i w:val="false"/>
                  <w:caps w:val="false"/>
                  <w:smallCaps w:val="false"/>
                  <w:color w:val="0000FF"/>
                  <w:sz w:val="20"/>
                  <w:u w:val="single"/>
                </w:rPr>
                <w:t>Item 15.</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426" w:type="dxa"/>
            <w:tcBorders/>
            <w:vAlign w:val="center"/>
          </w:tcPr>
          <w:p>
            <w:pPr>
              <w:pStyle w:val="TableContents"/>
              <w:bidi w:val="0"/>
              <w:spacing w:lineRule="atLeast" w:line="200" w:before="0" w:after="0"/>
              <w:jc w:val="left"/>
              <w:rPr/>
            </w:pPr>
            <w:hyperlink w:anchor="ibfa0590d77ac4199aa63edb4b8813f49_271">
              <w:r>
                <w:rPr>
                  <w:rStyle w:val="InternetLink"/>
                  <w:rFonts w:ascii="Times New Roman;serif" w:hAnsi="Times New Roman;serif"/>
                  <w:b w:val="false"/>
                  <w:i w:val="false"/>
                  <w:caps w:val="false"/>
                  <w:smallCaps w:val="false"/>
                  <w:color w:val="0000FF"/>
                  <w:sz w:val="20"/>
                  <w:u w:val="single"/>
                </w:rPr>
                <w:t>Exhibit and Financial Statement Schedules</w:t>
              </w:r>
            </w:hyperlink>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21" w:type="dxa"/>
            <w:tcBorders/>
            <w:vAlign w:val="center"/>
          </w:tcPr>
          <w:p>
            <w:pPr>
              <w:pStyle w:val="TableContents"/>
              <w:bidi w:val="0"/>
              <w:spacing w:lineRule="atLeast" w:line="200" w:before="0" w:after="0"/>
              <w:jc w:val="left"/>
              <w:rPr/>
            </w:pPr>
            <w:hyperlink w:anchor="ibfa0590d77ac4199aa63edb4b8813f49_271">
              <w:r>
                <w:rPr>
                  <w:rStyle w:val="InternetLink"/>
                  <w:rFonts w:ascii="Times New Roman;serif" w:hAnsi="Times New Roman;serif"/>
                  <w:b w:val="false"/>
                  <w:i w:val="false"/>
                  <w:caps w:val="false"/>
                  <w:smallCaps w:val="false"/>
                  <w:color w:val="0000FF"/>
                  <w:sz w:val="20"/>
                  <w:u w:val="single"/>
                </w:rPr>
                <w:t>85</w:t>
              </w:r>
            </w:hyperlink>
          </w:p>
        </w:tc>
      </w:tr>
      <w:tr>
        <w:trPr/>
        <w:tc>
          <w:tcPr>
            <w:tcW w:w="1366" w:type="dxa"/>
            <w:tcBorders/>
            <w:vAlign w:val="center"/>
          </w:tcPr>
          <w:p>
            <w:pPr>
              <w:pStyle w:val="TableContents"/>
              <w:bidi w:val="0"/>
              <w:spacing w:lineRule="atLeast" w:line="200" w:before="0" w:after="0"/>
              <w:jc w:val="left"/>
              <w:rPr/>
            </w:pPr>
            <w:hyperlink w:anchor="ibfa0590d77ac4199aa63edb4b8813f49_274">
              <w:r>
                <w:rPr>
                  <w:rStyle w:val="InternetLink"/>
                  <w:rFonts w:ascii="Times New Roman;serif" w:hAnsi="Times New Roman;serif"/>
                  <w:b w:val="false"/>
                  <w:i w:val="false"/>
                  <w:caps w:val="false"/>
                  <w:smallCaps w:val="false"/>
                  <w:color w:val="0000FF"/>
                  <w:sz w:val="20"/>
                  <w:u w:val="single"/>
                </w:rPr>
                <w:t>Item 16.</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lineRule="atLeast" w:line="200" w:before="0" w:after="0"/>
              <w:jc w:val="left"/>
              <w:rPr/>
            </w:pPr>
            <w:hyperlink w:anchor="ibfa0590d77ac4199aa63edb4b8813f49_274">
              <w:r>
                <w:rPr>
                  <w:rStyle w:val="InternetLink"/>
                  <w:rFonts w:ascii="Times New Roman;serif" w:hAnsi="Times New Roman;serif"/>
                  <w:b w:val="false"/>
                  <w:i w:val="false"/>
                  <w:caps w:val="false"/>
                  <w:smallCaps w:val="false"/>
                  <w:color w:val="0000FF"/>
                  <w:sz w:val="20"/>
                  <w:u w:val="single"/>
                </w:rPr>
                <w:t>Form 10-K Summary</w:t>
              </w:r>
            </w:hyperlink>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tLeast" w:line="200" w:before="0" w:after="0"/>
              <w:jc w:val="left"/>
              <w:rPr/>
            </w:pPr>
            <w:hyperlink w:anchor="ibfa0590d77ac4199aa63edb4b8813f49_274">
              <w:r>
                <w:rPr>
                  <w:rStyle w:val="InternetLink"/>
                  <w:rFonts w:ascii="Times New Roman;serif" w:hAnsi="Times New Roman;serif"/>
                  <w:b w:val="false"/>
                  <w:i w:val="false"/>
                  <w:caps w:val="false"/>
                  <w:smallCaps w:val="false"/>
                  <w:color w:val="0000FF"/>
                  <w:sz w:val="20"/>
                  <w:u w:val="single"/>
                </w:rPr>
                <w:t>85</w:t>
              </w:r>
            </w:hyperlink>
          </w:p>
        </w:tc>
      </w:tr>
      <w:tr>
        <w:trPr/>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1366" w:type="dxa"/>
            <w:tcBorders/>
            <w:vAlign w:val="center"/>
          </w:tcPr>
          <w:p>
            <w:pPr>
              <w:pStyle w:val="TableContents"/>
              <w:bidi w:val="0"/>
              <w:spacing w:lineRule="atLeast" w:line="200" w:before="0" w:after="0"/>
              <w:jc w:val="left"/>
              <w:rPr/>
            </w:pPr>
            <w:hyperlink w:anchor="ibfa0590d77ac4199aa63edb4b8813f49_280">
              <w:r>
                <w:rPr>
                  <w:rStyle w:val="InternetLink"/>
                  <w:rFonts w:ascii="Times New Roman;serif" w:hAnsi="Times New Roman;serif"/>
                  <w:b/>
                  <w:i w:val="false"/>
                  <w:caps w:val="false"/>
                  <w:smallCaps w:val="false"/>
                  <w:color w:val="0000FF"/>
                  <w:sz w:val="20"/>
                  <w:u w:val="single"/>
                </w:rPr>
                <w:t>SIGNATURES</w:t>
              </w:r>
            </w:hyperlink>
          </w:p>
        </w:tc>
        <w:tc>
          <w:tcPr>
            <w:tcW w:w="146" w:type="dxa"/>
            <w:tcBorders/>
            <w:vAlign w:val="center"/>
          </w:tcPr>
          <w:p>
            <w:pPr>
              <w:pStyle w:val="TableContents"/>
              <w:bidi w:val="0"/>
              <w:spacing w:before="0" w:after="283"/>
              <w:jc w:val="left"/>
              <w:rPr>
                <w:sz w:val="4"/>
                <w:szCs w:val="4"/>
              </w:rPr>
            </w:pPr>
            <w:r>
              <w:rPr>
                <w:sz w:val="4"/>
                <w:szCs w:val="4"/>
              </w:rPr>
            </w:r>
          </w:p>
        </w:tc>
        <w:tc>
          <w:tcPr>
            <w:tcW w:w="7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lineRule="atLeast" w:line="200" w:before="0" w:after="0"/>
              <w:jc w:val="left"/>
              <w:rPr/>
            </w:pPr>
            <w:hyperlink w:anchor="ibfa0590d77ac4199aa63edb4b8813f49_280">
              <w:r>
                <w:rPr>
                  <w:rStyle w:val="InternetLink"/>
                  <w:rFonts w:ascii="Times New Roman;serif" w:hAnsi="Times New Roman;serif"/>
                  <w:b w:val="false"/>
                  <w:i w:val="false"/>
                  <w:caps w:val="false"/>
                  <w:smallCaps w:val="false"/>
                  <w:color w:val="0000FF"/>
                  <w:sz w:val="20"/>
                  <w:u w:val="single"/>
                </w:rPr>
                <w:t>89</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Forward-Looking Statements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Certain matters discussed in this Annual Report on Form 10-K, in our other filings with the Securities and Exchange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Commission (the “SEC”), in our press releases, and in oral statements made with the approval of an executive officer may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constitute “forward-looking statements” within the meaning of the Private Securities Litigation Reform Act of 1995.  These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statements include, but are not limited to, statements related to our expectations regarding the performance of our business,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our financial results, our liquidity and capital resources, and other non-historical statements, and may be prefaced with words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such as “outlook,” “guidance,” “believes,” “expects,” “potential,” “preliminary,” “continues,” “may,” “will,” “should,” </w:t>
      </w:r>
    </w:p>
    <w:p>
      <w:pPr>
        <w:pStyle w:val="TextBody"/>
        <w:bidi w:val="0"/>
        <w:spacing w:lineRule="atLeast" w:line="200" w:before="0" w:after="0"/>
        <w:jc w:val="left"/>
        <w:rPr/>
      </w:pPr>
      <w:r>
        <w:rPr/>
        <w:t>“</w:t>
      </w:r>
      <w:r>
        <w:rPr>
          <w:rFonts w:ascii="Times New Roman;serif" w:hAnsi="Times New Roman;serif"/>
          <w:b w:val="false"/>
          <w:i/>
          <w:sz w:val="20"/>
        </w:rPr>
        <w:t xml:space="preserve">seeks,” “approximately,” “predicts,” “projects,” “positioned,” “prospects,” “intends,” “plans,” “estimates,” “pending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investments,” “anticipates,” or the negative version of these words or other comparable words.  Such statements are subject to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certain risks and uncertainties, including, among others, the factors discussed under the caption “Item 1A. Risk Factors.”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These factors (among others) could affect our financial condition, business activities, results of operations, cash flows, or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overall financial performance and cause actual results and business activities to differ materially from historical periods and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those presently anticipated and projected.  Forward-looking statements speak only as of the date they are made, and we will not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undertake and we specifically disclaim any obligation to release publicly the result of any revisions that may be made to any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forward-looking statements to reflect events or circumstances after the date of such statements or to reflect the occurrence of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events, whether or not anticipated.  In that respect, we caution readers not to place undue reliance on any such forward-</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looking statements.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References throughout this report to “AMG,” “we,” “us,” “our,” the “Company,” and similar references refer to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Affiliated Managers Group, Inc., unless otherwise stated or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Item 1.</w:t>
      </w:r>
      <w:r>
        <w:rPr>
          <w:rFonts w:ascii="Times New Roman;serif" w:hAnsi="Times New Roman;serif"/>
          <w:b/>
          <w:i w:val="false"/>
          <w:caps w:val="false"/>
          <w:smallCaps w:val="false"/>
          <w:strike w:val="false"/>
          <w:dstrike w:val="false"/>
          <w:sz w:val="20"/>
          <w:u w:val="none"/>
          <w:effect w:val="none"/>
        </w:rPr>
        <w:t xml:space="preserve">Business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Overview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 is a strategic partner to leading independent investment firms globally.  Our strategy is to generate long-term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investing in high-quality independent partner-owned firms, which we refer to as “Affiliates,” through a proven partnership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approach, and allocating resources across our unique opportunity set to the areas of highest growth and return.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that high-quality, partner-owned firms have fundamental competitive advantages in meeting client objectives.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their entrepreneurial, investment-centric cultures, and deep alignment of interests with clients through direct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ownership by firm principals, independent firms have an ownership mindset, a long-term orientation to building their firms,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ability to act nimbly to capitalize on market movements, enabling them to offer unique return streams to the marketplace.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AMG’s distinctive partnership approach magnifies the existing advantages of our independent Affiliates and actively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supports their ongoing independence and ownership culture.  Our innovative model enables each Affiliate’s management team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retain autonomy and significant equity ownership in their firm, while they leverage our strategic capabilities and insight,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access to growth capital, product strategy and distribution through our capital formation capabilities, succession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planning, and strategic advisory, to expand their reach, diversify their businesses, and enhance their long-term success.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that our Affiliates operate across alternatives and differentiated long-only strategies, we believe AMG is highly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diversified.  Our Affiliates manage numerous differentiated strategies across a range of return-oriented asset classes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structures across alternatives (including private markets and liquid alternatives) and differentiated long-only (including equities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multi-asset and fixed income).  We have built a highly diversified portfolio of Affiliates over time, and the underlying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diversity by strategy, product, and client type enhances our earnings stability across all stages of a market cycle, and therefore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ability to consistently invest in the areas of highest growth and return to generate value for shareholders.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Strategy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generate long-term value by investing in high-quality independent partner-owned firms and allocating resources across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AMG’s unique opportunity set to the areas of highest growth and return.  Our business generates significant cash flow,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we deploy toward growth investments and the return of capital to shareholders.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growth investments are focused on: (i) partnering with high-quality new Affiliates operating in areas of durable client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demand; (ii) investing in and alongside our existing Affiliates to capitalize on their growth opportunities, including by seeding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new products; and (iii) investing in our own strategic value-add capabilities, which are leveraged by our Affiliates to further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scale and diversify their businesses.  Across these opportunities, we are focused on investing in areas of secular growth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long-term client demand.  As part of our strategy, we consistently evaluate our forward opportunity set; over the last several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years, we have further invested in alternative strategies, including significant capital deployed toward new investments in fast-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growing areas within private markets and liquid alternatives aligned with long-term trends.  Through these recent growth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investments, we have deliberately evolved our business toward alternatives, with the intention of improving our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organic growth and earnings growth prospects as well as further enhancing the stability of our cash flow.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AMG’s strategic expertise in collaborating with partner-owned firms has been honed across more than three decades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working closely with our Affiliates.  Our unique approach provides independent firms with the advantages of a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strategic partnership, while actively supporting their autonomy and independence, thereby preserving their core advantages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essential elements of their success — their entrepreneurial cultures, differentiated investment expertise, and disciplined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long-term orientations.  We believe that clients recognize these fundamental characteristics of partner-owned firms,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alignment created by direct equity ownership by firm principals, as competitive advantages in achieving client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goals and objectives.  We hold meaningful equity interests in each of our Affiliates, and typically each Affiliate’s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team retains a significant equity interest in their own firm.  Affiliate management equity ownership (along with our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ownership) creates strong alignment and enables Affiliate management to participate directly in the long-term success of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firms.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goal with Affiliates is to be an excellent partner.  As the business landscape continues to change, the needs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 firms also evolve.  Accordingly, AMG continues to invest in our strategic capabilities to enhance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ability to achieve their long-term strategic objectives.  Each Affiliate partnership is unique, and we work closely with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to determine how AMG might amplify the long-term success of each firm by collaborating across a range of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areas, including access to growth capital, product strategy and distribution through our capital formation capabilities, succession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planning, and strategic advisory.  Today, we are increasingly focused on partnering with firms where AMG’s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can add significant value and with firms that see the value of a strategic partner that can magnify their success —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illustrated by our recent investments.  We believe our strategic capabilities provide many of the benefits offered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consolidation models, while critically enabling firms to retain their independence.  Together, these capabilities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commitment to Affiliate independence over the long term distinctly differentiate AMG’s partnership model from other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paths available to independent firms.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many cases, where Affiliates access our growth capital or capital formation capabilities, we invest our capital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resources to develop, seed, and distribute new strategies and products that meet evolving client needs.  Our distribution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provide access to institutional and wealth clients to complement our Affiliates’ own resources and expand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reach, including by leveraging the expertise of our senior sales and marketing professionals and the depth and breadth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AMG’s strategic relationships in the U.S., Europe, the UK, the Middle East, and Asia.  As part of our capital 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AMG’s partnership model provides Affiliates access to its vertically-integrated U.S. wealth platform,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includes product development expertise, an operations team supporting all aspects of the product lifecycle, and a scaled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distribution organization operating across specialized sales teams, a strategic relationships team, and marketing.  Accessing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attractive and growing U.S. wealth marketplace is challenging for independent managers to effectively do on their own, 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scale; leveraging AMG’s dedicated resources and coordinated strategy across key distribution channels has been essential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successful launch and sustainable growth of our Affiliates’ new alternative products for the U.S. wealth </w:t>
      </w:r>
      <w:r>
        <w:rPr>
          <w:rFonts w:ascii="Times New Roman;serif" w:hAnsi="Times New Roman;serif"/>
          <w:b w:val="false"/>
          <w:i w:val="false"/>
          <w:caps w:val="false"/>
          <w:smallCaps w:val="false"/>
          <w:strike w:val="false"/>
          <w:dstrike w:val="false"/>
          <w:sz w:val="20"/>
          <w:u w:val="none"/>
          <w:effect w:val="none"/>
        </w:rPr>
        <w:t>market</w:t>
      </w:r>
      <w:r>
        <w:rPr>
          <w:rFonts w:ascii="Times New Roman;serif" w:hAnsi="Times New Roman;serif"/>
          <w:b w:val="false"/>
          <w:i w:val="false"/>
          <w:caps w:val="false"/>
          <w:smallCaps w:val="false"/>
          <w:sz w:val="20"/>
        </w:rPr>
        <w:t xml:space="preserve">.  Likewise,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AMG’s platform provides wealth clients with access to differentiated products from best-in-class independent managers.  </w:t>
      </w:r>
      <w:r>
        <w:rPr>
          <w:rFonts w:ascii="Times New Roman;serif" w:hAnsi="Times New Roman;serif"/>
          <w:b w:val="false"/>
          <w:i w:val="false"/>
          <w:caps w:val="false"/>
          <w:smallCaps w:val="false"/>
          <w:strike w:val="false"/>
          <w:dstrike w:val="false"/>
          <w:sz w:val="20"/>
          <w:u w:val="none"/>
          <w:effect w:val="none"/>
        </w:rPr>
        <w:t xml:space="preserve">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a track record of successfully bringing Affiliate strategies to market — including one of the first evergreen funds in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private equity space</w:t>
      </w:r>
      <w:r>
        <w:rPr>
          <w:caps w:val="false"/>
          <w:smallCaps w:val="false"/>
          <w:strike w:val="false"/>
          <w:dstrike w:val="false"/>
          <w:sz w:val="24"/>
          <w:u w:val="none"/>
          <w:effect w:val="none"/>
        </w:rPr>
        <w:t xml:space="preserve"> — </w:t>
      </w:r>
      <w:r>
        <w:rPr>
          <w:rFonts w:ascii="Times New Roman;serif" w:hAnsi="Times New Roman;serif"/>
          <w:b w:val="false"/>
          <w:i w:val="false"/>
          <w:caps w:val="false"/>
          <w:smallCaps w:val="false"/>
          <w:strike w:val="false"/>
          <w:dstrike w:val="false"/>
          <w:sz w:val="20"/>
          <w:u w:val="none"/>
          <w:effect w:val="none"/>
        </w:rPr>
        <w:t xml:space="preserve">and we are continuing to build on our success through the launch of innovative products, including four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new alternative strategies and an active exchange-traded fund (“ETF</w:t>
      </w:r>
      <w:r>
        <w:rPr>
          <w:caps w:val="false"/>
          <w:smallCaps w:val="false"/>
          <w:strike w:val="false"/>
          <w:dstrike w:val="false"/>
          <w:sz w:val="24"/>
          <w:u w:val="none"/>
          <w:effect w:val="none"/>
        </w:rPr>
        <w:t>”</w:t>
      </w:r>
      <w:r>
        <w:rPr>
          <w:rFonts w:ascii="Times New Roman;serif" w:hAnsi="Times New Roman;serif"/>
          <w:b w:val="false"/>
          <w:i w:val="false"/>
          <w:caps w:val="false"/>
          <w:smallCaps w:val="false"/>
          <w:strike w:val="false"/>
          <w:dstrike w:val="false"/>
          <w:sz w:val="20"/>
          <w:u w:val="none"/>
          <w:effect w:val="none"/>
        </w:rPr>
        <w:t>) in the past two years.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for some of our Affiliates, we leverage our long-term partnership approach to facilitate succession planning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across generations of Affiliate management principals and provide succession planning solutions and advice, which can include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degree of liquidity and financial diversification along with incentive alignment for next-generation partners.  We also engage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our Affiliates on strategic matters to advance their broader objectives.  We enter every partnership with a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orientation to magnify our Affiliates’ advantages and support their multi-year business plans.  While Affiliates typically partner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AMG to preserve their independence and partnership culture, evolving conditions may lead an Affiliate to consider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options.  In such cases, through our active strategic engagement, we collaborate with Affiliates to evaluate appropriate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alternatives.  When strategic transactions occur, they typically enhance our flexibility to execute our growth strategy and return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capital to shareholders, as we deploy the resulting proceeds in accordance with our disciplined capital allocation framework.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our partnership structure, strategic decisions are led by our Affiliates and AMG retains certain rights to protect AMG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shareholder interests.  And because we are aligned with our Affiliates, their success is our success.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proven ability to magnify the competitive advantages of partner-owned firms, while preserving their independence,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differentiates AMG's partnership model and is increasingly valued by prospective Affiliates.  Independent firms seeking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institutional partner are attracted to our innovative partnership approach and our global reputation as a successful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partner to leading independent investment firms around the world.  We anticipate that the principal owners of independent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firms will continue to seek access to an evolving range of growth and succession solutions.  Accordingly, we expect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continue to have a significant opportunity to invest in and partner with additional high-quality firms across the global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management industry.  In addition, we continue to have the opportunity to make additional equity investments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existing Affiliates, or invest in their growth by providing seed or other growth capital.  We are well-positioned to execute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upon these investment opportunities through our:</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established process of identifying, and cultivating relationships with, high-quality prospective Affiliates in our areas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focus;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broad industry network and proprietary relationships developed with prospects over many years;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substantial experience and expertise in structuring and negotiating transactions;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global reputation as an excellent partner to our Affiliates, having provided innovative solutions for the strategic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needs of independent investment firms for more than three decades;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successful engagement with our Affiliates to enhance their long-term prospects, including through access to growth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capital, product strategy and distribution through our capital formation capabilities, succession planning,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strategic advisory.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Affiliates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provide a diverse range of differentiated return streams through their specialized investment processes.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their long-term performance records, our Affiliates are recognized as being among the industry’s leaders in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 investment disciplines.  Our Affiliates’ attractive return streams are utilized in client portfolios to address a range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needs for institutional and individual clients globally; certain Affiliates also provide investment management and customized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investment counseling and fiduciary services to high net worth individuals, families, and institutional clients.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Affiliates managed approximately </w:t>
      </w:r>
      <w:r>
        <w:rPr>
          <w:rFonts w:ascii="Times New Roman;serif" w:hAnsi="Times New Roman;serif"/>
          <w:b w:val="false"/>
          <w:i w:val="false"/>
          <w:caps w:val="false"/>
          <w:smallCaps w:val="false"/>
          <w:strike w:val="false"/>
          <w:dstrike w:val="false"/>
          <w:sz w:val="20"/>
          <w:u w:val="none"/>
          <w:effect w:val="none"/>
        </w:rPr>
        <w:t>$813 billion</w:t>
      </w:r>
      <w:r>
        <w:rPr>
          <w:caps w:val="false"/>
          <w:smallCaps w:val="false"/>
          <w:sz w:val="24"/>
        </w:rPr>
        <w:t xml:space="preserve"> </w:t>
      </w:r>
      <w:r>
        <w:rPr>
          <w:rFonts w:ascii="Times New Roman;serif" w:hAnsi="Times New Roman;serif"/>
          <w:b w:val="false"/>
          <w:i w:val="false"/>
          <w:caps w:val="false"/>
          <w:smallCaps w:val="false"/>
          <w:sz w:val="20"/>
        </w:rPr>
        <w:t xml:space="preserve">across a broad range of investment styles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geographies, in alternative and differentiated long-only strategies, as described below.</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Alternative Strategies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Private Markets:  Our Affiliates managed approximately </w:t>
      </w:r>
      <w:r>
        <w:rPr>
          <w:rFonts w:ascii="Times New Roman;serif" w:hAnsi="Times New Roman;serif"/>
          <w:b w:val="false"/>
          <w:i w:val="false"/>
          <w:caps w:val="false"/>
          <w:smallCaps w:val="false"/>
          <w:strike w:val="false"/>
          <w:dstrike w:val="false"/>
          <w:sz w:val="20"/>
          <w:u w:val="none"/>
          <w:effect w:val="none"/>
        </w:rPr>
        <w:t>$146 billion</w:t>
      </w:r>
      <w:r>
        <w:rPr>
          <w:caps w:val="false"/>
          <w:smallCaps w:val="false"/>
          <w:sz w:val="24"/>
        </w:rPr>
        <w:t xml:space="preserve"> </w:t>
      </w:r>
      <w:r>
        <w:rPr>
          <w:rFonts w:ascii="Times New Roman;serif" w:hAnsi="Times New Roman;serif"/>
          <w:b w:val="false"/>
          <w:i w:val="false"/>
          <w:caps w:val="false"/>
          <w:smallCaps w:val="false"/>
          <w:sz w:val="20"/>
        </w:rPr>
        <w:t xml:space="preserve">in private market assets.  These firms operate across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diverse number of growing areas within private markets and share key characteristics that position them for long-term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creation, including differentiated investment approaches, and deep sector expertise, regional networks, and market-specific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knowledge — all of which enhance sourcing and execution.  With differentiated investment models, a focus on diverse areas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long-term structural tailwinds, long-dated capital commitments, and the growing potential to generate and realize carried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over time, we believe our private markets Affiliates enhance AMG’s long-term organic growth and earnings power.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Liquid Alternatives:  Our Affiliates managed approximately </w:t>
      </w:r>
      <w:r>
        <w:rPr>
          <w:rFonts w:ascii="Times New Roman;serif" w:hAnsi="Times New Roman;serif"/>
          <w:b w:val="false"/>
          <w:i w:val="false"/>
          <w:caps w:val="false"/>
          <w:smallCaps w:val="false"/>
          <w:strike w:val="false"/>
          <w:dstrike w:val="false"/>
          <w:sz w:val="20"/>
          <w:u w:val="none"/>
          <w:effect w:val="none"/>
        </w:rPr>
        <w:t>$227 billion</w:t>
      </w:r>
      <w:r>
        <w:rPr>
          <w:caps w:val="false"/>
          <w:smallCaps w:val="false"/>
          <w:sz w:val="24"/>
        </w:rPr>
        <w:t xml:space="preserve"> </w:t>
      </w:r>
      <w:r>
        <w:rPr>
          <w:rFonts w:ascii="Times New Roman;serif" w:hAnsi="Times New Roman;serif"/>
          <w:b w:val="false"/>
          <w:i w:val="false"/>
          <w:caps w:val="false"/>
          <w:smallCaps w:val="false"/>
          <w:sz w:val="20"/>
        </w:rPr>
        <w:t xml:space="preserve">in liquid alternative assets.  These Affiliates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excellent long-term track records across both beta-sensitive and absolute return strategies, including multi-strategy, global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macro, relative value fixed income, and trend-following, which are designed to generate returns that have low or no correlation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broader markets.  These strategies can generate sizable performance fee earnings that — given their diversity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demonstrated low correlation to risk assets — can contribute to the stability of AMG’s earnings over time.  Many of our liquid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alternative strategies are designed to protect against volatility and drawdowns, complementing our private markets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differentiated long-only strategies.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Differentiated Long-Only Strategies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Equities and Multi-asset and Fixed Income</w:t>
      </w:r>
      <w:r>
        <w:rPr>
          <w:rFonts w:ascii="Times New Roman;serif" w:hAnsi="Times New Roman;serif"/>
          <w:b w:val="false"/>
          <w:i w:val="false"/>
          <w:caps w:val="false"/>
          <w:smallCaps w:val="false"/>
          <w:sz w:val="20"/>
        </w:rPr>
        <w:t xml:space="preserve">:  Our Affiliates managed approximately </w:t>
      </w:r>
      <w:r>
        <w:rPr>
          <w:rFonts w:ascii="Times New Roman;serif" w:hAnsi="Times New Roman;serif"/>
          <w:b w:val="false"/>
          <w:i w:val="false"/>
          <w:caps w:val="false"/>
          <w:smallCaps w:val="false"/>
          <w:strike w:val="false"/>
          <w:dstrike w:val="false"/>
          <w:sz w:val="20"/>
          <w:u w:val="none"/>
          <w:effect w:val="none"/>
        </w:rPr>
        <w:t>$312 billion</w:t>
      </w:r>
      <w:r>
        <w:rPr>
          <w:caps w:val="false"/>
          <w:smallCaps w:val="false"/>
          <w:sz w:val="24"/>
        </w:rPr>
        <w:t xml:space="preserve"> </w:t>
      </w:r>
      <w:r>
        <w:rPr>
          <w:rFonts w:ascii="Times New Roman;serif" w:hAnsi="Times New Roman;serif"/>
          <w:b w:val="false"/>
          <w:i w:val="false"/>
          <w:caps w:val="false"/>
          <w:smallCaps w:val="false"/>
          <w:sz w:val="20"/>
        </w:rPr>
        <w:t xml:space="preserve">in equity assets across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number of differentiated products and approximately </w:t>
      </w:r>
      <w:r>
        <w:rPr>
          <w:rFonts w:ascii="Times New Roman;serif" w:hAnsi="Times New Roman;serif"/>
          <w:b w:val="false"/>
          <w:i w:val="false"/>
          <w:caps w:val="false"/>
          <w:smallCaps w:val="false"/>
          <w:strike w:val="false"/>
          <w:dstrike w:val="false"/>
          <w:sz w:val="20"/>
          <w:u w:val="none"/>
          <w:effect w:val="none"/>
        </w:rPr>
        <w:t>$128 billion</w:t>
      </w:r>
      <w:r>
        <w:rPr>
          <w:caps w:val="false"/>
          <w:smallCaps w:val="false"/>
          <w:sz w:val="24"/>
        </w:rPr>
        <w:t xml:space="preserve"> </w:t>
      </w:r>
      <w:r>
        <w:rPr>
          <w:rFonts w:ascii="Times New Roman;serif" w:hAnsi="Times New Roman;serif"/>
          <w:b w:val="false"/>
          <w:i w:val="false"/>
          <w:caps w:val="false"/>
          <w:smallCaps w:val="false"/>
          <w:sz w:val="20"/>
        </w:rPr>
        <w:t>in multi-asset and fixed income strategies.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operate across a range of traditional equity and fixed income strategies typically through mutual fund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governed by the Investment Company Act of 1940, as amended (the “Investment Company Act”), ETFs, separately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managed accounts, and Undertakings for Collective Investment in Transferable Securities (“UCITS”), in both the U.S.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international markets. Additionally, we have several wealth management Affiliates, which manage multi-asset class portfolios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behalf of their clients.  These Affiliates have built enduring franchises with specialized investment expertise and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track records across all stages of a market cycle.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meaningful earnings contributions from each of private markets, liquid alternatives, and differentiated long-only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equities and multi-asset and fixed income) strategies, AMG’s business and earnings profile is highly diversified.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Given the complementary nature of these strategies, this diversification enhances our earnings stability and supports our 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reinvest in the highest growth and return opportunities to benefit our shareholders.  Our exposure across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complementary areas further distinguishes AMG’s business model within the independent investment management industry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positions AMG as an attractive strategic partner for leading independent investment firms operating across multiple asset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classes.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Partnership Structure with Affiliates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 offers bespoke partnership solutions to address each Affiliate’s unique needs.  Consistent with AMG’s partnership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approach and commitment to independence, we offer a range of operating structures and have customized arrangements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each of our Affiliates that provide their management teams with the authority to manage and operate the business on a day-to-</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day basis.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Each of our Affiliates operates through distinct legal entities, which affords us the flexibility to design a separate operating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agreement for each Affiliate that reflects the customized arrangement, including with respect to the specific terms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participation in the Affiliate, which, in each case, uses a “structured partnership interest” to ensure alignment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interests with those of Affiliate management. The form of our structured partnership interests in our Affiliates differs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from Affiliate to Affiliate, and may change during the course of our investment.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structures where we contractually share in the Affiliate’s revenue without regard to expenses, comprising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Affiliates that contribute a majority </w:t>
      </w:r>
      <w:r>
        <w:rPr>
          <w:rFonts w:ascii="Times New Roman;serif" w:hAnsi="Times New Roman;serif"/>
          <w:b w:val="false"/>
          <w:i w:val="false"/>
          <w:caps w:val="false"/>
          <w:smallCaps w:val="false"/>
          <w:strike w:val="false"/>
          <w:dstrike w:val="false"/>
          <w:sz w:val="20"/>
          <w:u w:val="none"/>
          <w:effect w:val="none"/>
        </w:rPr>
        <w:t>of Consolidated revenue</w:t>
      </w:r>
      <w:r>
        <w:rPr>
          <w:rFonts w:ascii="Times New Roman;serif" w:hAnsi="Times New Roman;serif"/>
          <w:b w:val="false"/>
          <w:i w:val="false"/>
          <w:caps w:val="false"/>
          <w:smallCaps w:val="false"/>
          <w:sz w:val="20"/>
        </w:rPr>
        <w:t xml:space="preserve">, the Affiliate allocates a specified percentage of its revenue to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Affiliate management, while using the remainder for operating expenses and additional distributions to Affiliate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We and Affiliate management, therefore, participate in any increase or decrease in revenue, and only Affiliate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participates in any increase or decrease in expenses.  Under these structured partnership interests our contractual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 of revenue generally has priority over distributions to Affiliate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structures where we contractually share in the Affiliate’s revenue less agreed-upon expenses, we benefit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increase in revenue or any decrease in the agreed-upon expenses, but also have exposure to any decrease in revenue or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such agreed-upon expenses.  The degree of our exposure to agreed-upon expenses from these structured partnership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interests varies by Affiliate, and includes several Affiliates in which we fully share in the expenses of the business.  Further,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in which we agree to share may change during the course of our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When we own a controlling equity interest in an Affiliate, we consolidate the Affiliate’s financial results into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Financial Statements.  When we do not own a controlling equity interest in an Affiliate, but have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influence, we account for our interest in the Affiliate under the equity method.  Under the equity method of accounting, we do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consolidate the Affiliate’s results into our Consolidated Financial Statements.  Instead, our share of earnings or losses,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amortization and impairments, is included in Equity method income (net) in our Consolidated Statements of Income,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in these Affiliates is recorded in Equity method investments in Affiliates (net) in our Consolidated Balance Sheets.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Whether we consolidate an Affiliate’s financial results or use the equity method of accounting, we maintain the same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innovative partnership approach and offer support and assistance in substantially the same manner for all of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we may restructure our interest in an Affiliate to better support the Affiliate’s growth strategy, but only if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doing so is in the best interest of the Affiliate’s business, management partners, and clients, as well as our stakeholders.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Competition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compete with numerous investment management firms globally, as well as with subsidiaries of larger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organizations.  These firms may have significantly greater financial, technological, and marketing resources; access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captive distribution; and assets under management.  Many of these firms may offer products and services that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in particular investment strategies such as passively managed products, including ETFs, which typically carry lower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fee rates.  Certain Affiliates offer their investment management services to the same client types and, from time to time,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compete with each other for clients.  In addition, there are relatively few barriers to entry for new investment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firms, especially for those providing investment management services to institutional and high net worth </w:t>
      </w:r>
      <w:r>
        <w:rPr>
          <w:rFonts w:ascii="Times New Roman;serif" w:hAnsi="Times New Roman;serif"/>
          <w:b w:val="false"/>
          <w:i w:val="false"/>
          <w:caps w:val="false"/>
          <w:smallCaps w:val="false"/>
          <w:strike w:val="false"/>
          <w:dstrike w:val="false"/>
          <w:sz w:val="20"/>
          <w:u w:val="none"/>
          <w:effect w:val="none"/>
        </w:rPr>
        <w:t>investors</w:t>
      </w:r>
      <w:r>
        <w:rPr>
          <w:rFonts w:ascii="Times New Roman;serif" w:hAnsi="Times New Roman;serif"/>
          <w:b w:val="false"/>
          <w:i w:val="false"/>
          <w:caps w:val="false"/>
          <w:smallCaps w:val="false"/>
          <w:sz w:val="20"/>
        </w:rPr>
        <w:t xml:space="preserve">.  We believe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that the most important factors affecting our Affiliates’ ability to compete for clients are the: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investment performance, investment styles, and reputations of our Affiliates and their management teams;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differentiation of our Affiliates’ investment strategies and products and the continued development of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strategies and products to meet the evolving needs and demands of investors;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depth and continuity of our and our Affiliates’ client relationships and the level of client service offered;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maintenance of strong business relationships by us and our Affiliates with major intermediaries;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continued success of our and our Affiliates’ distribution efforts.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our strategy includes investing in independent partner-owned investment firms, and in this area we compete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 number of acquirers and investors, including investment management companies, private equity firms, sovereign wealth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funds, and larger financial organizations.  We believe that the most important factors on which we compete for future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investments are purchase price; our partnership model, including the equity incentive structures and access to capital 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strategic advisory capabilities; and the breadth and depth of our relationships, and our reputation, with investment firm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prospects.  We believe we offer a unique and differentiated partnership opportunity to Affiliates based on the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duration of our partnership, the ability for our Affiliates to remain independent partner-owned investment firms,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strategic capabilities.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Government Regulation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offer their investment management services and products around the world, and are subject to complex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extensive regulation by regulatory and self-regulatory authorities and exchanges in various jurisdictions.  Virtually all aspects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asset management business, including the provision of advice, investment strategies and trading, fund sponsorship,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product-related sales and distribution activities, are subject to regulation.  These regulations are primarily intended to protect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clients of investment advisers and generally grant regulatory authorities broad administrative and enforcement powers.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majority of our Affiliates are registered with the SEC as investment advisers under the Investment Advisers Act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1940, as amended (the “Advisers Act”).  The Advisers Act imposes numerous obligations on registered investment advisers,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fiduciary duties, compliance and disclosure obligations, and operational and recordkeeping requirements.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operating outside of the U.S. may be subject to the Advisers Act and are also subject to regulation by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and self-regulatory authorities and exchanges in the relevant jurisdictions, including, for those Affiliates active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UK, the Financial Conduct Authority (the “FCA”).  Many of our Affiliates also sponsor or advise registered and unregistered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funds in the U.S. and in other jurisdictions, and are subject to regulatory requirements in the jurisdictions where those funds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sponsored or offered, including, with respect to mutual funds in the U.S., the Investment Company Act.  The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Act governs the operations of mutual funds and imposes obligations on their advisers, including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restrictions and other governance, compliance, reporting, and fiduciary obligations relating to the management of mutual funds.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Many of our Affiliates are also subject to directives and regulations in the European Union and other jurisdictions relating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funds, such as the UCITS Directive and the Alternative Investment Fund Managers Directive, with respect to depositary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functions, remuneration policies, and sanctions, among other matters.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sales and marketing activities are subject to regulation by authorities in the jurisdictions in which they offer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management products and services.  Our Affiliates’ ability to transact business in these jurisdictions, and to conduct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cross-border activities, is subject to the continuing availability of regulatory authorizations and exemptions.  Through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distribution platform, we also engage in sales and marketing activities that extend the reach of our Affiliates’ own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 efforts, and which are subject to regulation in numerous jurisdictions.  Our U.S. wealth distribution subsidiary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registered with the SEC under the Advisers Act.  This subsidiary sponsors mutual funds registered under the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Act, and serves as an investment adviser and/or administrator for our fund complex.  In the UK, our institutional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distribution subsidiary is regulated by the FCA.  We also have an institutional distribution branch of a subsidiary regulated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Dubai Financial Services Authority, and any activities in the European Union are subject to compliance with applicable </w:t>
      </w:r>
    </w:p>
    <w:p>
      <w:pPr>
        <w:pStyle w:val="TextBody"/>
        <w:bidi w:val="0"/>
        <w:spacing w:lineRule="atLeast" w:line="200" w:before="0" w:after="0"/>
        <w:jc w:val="left"/>
        <w:rPr/>
      </w:pPr>
      <w:r>
        <w:rPr>
          <w:rFonts w:ascii="Times New Roman;serif" w:hAnsi="Times New Roman;serif"/>
          <w:b w:val="false"/>
          <w:i w:val="false"/>
          <w:caps w:val="false"/>
          <w:smallCaps w:val="false"/>
          <w:sz w:val="20"/>
        </w:rPr>
        <w:t>regulations</w:t>
      </w:r>
      <w:r>
        <w:rPr>
          <w:caps w:val="false"/>
          <w:smallCaps w:val="false"/>
        </w:rPr>
        <w:t xml:space="preserve"> </w:t>
      </w:r>
      <w:r>
        <w:rPr>
          <w:rFonts w:ascii="Times New Roman;serif" w:hAnsi="Times New Roman;serif"/>
          <w:b w:val="false"/>
          <w:i w:val="false"/>
          <w:caps w:val="false"/>
          <w:smallCaps w:val="false"/>
          <w:sz w:val="20"/>
        </w:rPr>
        <w:t xml:space="preserve">in various European jurisdictions.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Affiliates and our U.S. wealth distribution subsidiary are subject to the Employee Retirement Income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Security Act of 1974, as amended (“ERISA”), and related regulations, with respect to retirement plan clients.  ERISA imposes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duties on persons who are fiduciaries under ERISA, and prohibits certain transactions involving related parties to a retirement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  The U.S. Department of Labor administers ERISA and regulates investment advisers who service retirement plan clients,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has been increasingly active in proposing and adopting additional regulations applicable to the investment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Certain of our Affiliates and our U.S. wealth distribution subsidiary are also members of the National Futures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Association and are regulated by the U.S. Commodity Futures Trading Commission (“CFTC”) with respect to the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funds and other products that utilize futures, swaps, or other CFTC-regulated instruments.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certain of our Affiliates and our U.S. wealth broker-dealer subsidiary are registered broker-dealers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members of the Financial Industry Regulatory Authority (“FINRA”), for the purpose of distributing funds or other products.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FINRA has adopted extensive regulatory requirements relating to sales practices, registration of personnel, compliance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supervision, and compensation and disclosure.  FINRA and the SEC have the authority to conduct periodic examinations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member broker-dealers, and may also conduct administrative proceedings.  These broker-dealers are also subject to net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rules in the U.S. that mandate the maintenance of certain levels of capital, and our Affiliates and our other distribution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subsidiaries may also be subject to other regulatory capital requirements imposed by non-U.S. regulatory authorities.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Due to the extensive laws and regulations to which we and our Affiliates are subject, we and our Affiliates must devote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substantial time, expens</w:t>
      </w:r>
      <w:r>
        <w:rPr>
          <w:rFonts w:ascii="Times New Roman;serif" w:hAnsi="Times New Roman;serif"/>
          <w:b w:val="false"/>
          <w:i w:val="false"/>
          <w:caps w:val="false"/>
          <w:smallCaps w:val="false"/>
          <w:strike w:val="false"/>
          <w:dstrike w:val="false"/>
          <w:sz w:val="20"/>
          <w:u w:val="none"/>
          <w:effect w:val="none"/>
        </w:rPr>
        <w:t>e, and</w:t>
      </w:r>
      <w:r>
        <w:rPr>
          <w:caps w:val="false"/>
          <w:smallCaps w:val="false"/>
          <w:sz w:val="24"/>
        </w:rPr>
        <w:t xml:space="preserve"> </w:t>
      </w:r>
      <w:r>
        <w:rPr>
          <w:rFonts w:ascii="Times New Roman;serif" w:hAnsi="Times New Roman;serif"/>
          <w:b w:val="false"/>
          <w:i w:val="false"/>
          <w:caps w:val="false"/>
          <w:smallCaps w:val="false"/>
          <w:sz w:val="20"/>
        </w:rPr>
        <w:t xml:space="preserve">effort to remain current on, and to address, legal and regulatory compliance matters.  We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established compliance programs for each of our operating subsidiaries, and each of our Affiliates has established compliance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programs to address regulatory compliance requirements for its operations.  We and our Affiliates have experienced legal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professionals in place to address these requirements, and have relationships with various legal and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advisors in each of the countries where we and our Affiliates conduct business.  See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Human Capital Management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and our Affiliates had approximately </w:t>
      </w:r>
      <w:r>
        <w:rPr>
          <w:rFonts w:ascii="Times New Roman;serif" w:hAnsi="Times New Roman;serif"/>
          <w:b w:val="false"/>
          <w:i w:val="false"/>
          <w:caps w:val="false"/>
          <w:smallCaps w:val="false"/>
          <w:strike w:val="false"/>
          <w:dstrike w:val="false"/>
          <w:sz w:val="20"/>
          <w:u w:val="none"/>
          <w:effect w:val="none"/>
        </w:rPr>
        <w:t>5,600</w:t>
      </w:r>
      <w:r>
        <w:rPr>
          <w:caps w:val="false"/>
          <w:smallCaps w:val="false"/>
          <w:sz w:val="24"/>
        </w:rPr>
        <w:t xml:space="preserve"> </w:t>
      </w:r>
      <w:r>
        <w:rPr>
          <w:rFonts w:ascii="Times New Roman;serif" w:hAnsi="Times New Roman;serif"/>
          <w:b w:val="false"/>
          <w:i w:val="false"/>
          <w:caps w:val="false"/>
          <w:smallCaps w:val="false"/>
          <w:sz w:val="20"/>
        </w:rPr>
        <w:t xml:space="preserve">employees, the substantial majority of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were employed by our Affiliates and not by AMG.  Each Affiliate’s management team retains autonomy in managing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their business on a day-to-day basis, including with respect to their human capital.  Given this, the following is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discussion of AMG’s workforce, or approximately </w:t>
      </w:r>
      <w:r>
        <w:rPr>
          <w:rFonts w:ascii="Times New Roman;serif" w:hAnsi="Times New Roman;serif"/>
          <w:b w:val="false"/>
          <w:i w:val="false"/>
          <w:caps w:val="false"/>
          <w:smallCaps w:val="false"/>
          <w:strike w:val="false"/>
          <w:dstrike w:val="false"/>
          <w:sz w:val="20"/>
          <w:u w:val="none"/>
          <w:effect w:val="none"/>
        </w:rPr>
        <w:t>250</w:t>
      </w:r>
      <w:r>
        <w:rPr>
          <w:caps w:val="false"/>
          <w:smallCaps w:val="false"/>
          <w:sz w:val="24"/>
        </w:rPr>
        <w:t xml:space="preserve"> </w:t>
      </w:r>
      <w:r>
        <w:rPr>
          <w:rFonts w:ascii="Times New Roman;serif" w:hAnsi="Times New Roman;serif"/>
          <w:b w:val="false"/>
          <w:i w:val="false"/>
          <w:caps w:val="false"/>
          <w:smallCaps w:val="false"/>
          <w:sz w:val="20"/>
        </w:rPr>
        <w:t xml:space="preserve">of the total employees, and the policies and cultural initiatives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pertain to our human capital.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employees and our reputation are our most important assets, and attracting, retaining, and motivating top talent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execute on our strategic business objectives is a fundamental imperative.  We support that imperative through our strong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values-based culture, commitment to career development and training, employee engagement initiatives, attractive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and benefits programs, attention to succession planning, and fostering of organizational diversity at all levels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organization.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leadership training and sponsored skills development programs cover a wide range of subject area expertise as well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career development generally, and are anchored on a comprehensive performance review process, which includes a company-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wide 360-degree review program.  Further, we support employees’ educational pursuits relating to degree programs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certifications through company-supported time off and funding for professional development and flexible work arrangements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tailored to individual employees’ educational goals.  We regularly conduct company-wide surveys to solicit feedback from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employees on a variety of topics, including corporate culture, philanthropic interests, and general job satisfaction, which help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enhance employee engagement and retention.  Our annual anonymous employee engagement survey reported an employee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satisfaction rating of </w:t>
      </w:r>
      <w:r>
        <w:rPr>
          <w:rFonts w:ascii="Times New Roman;serif" w:hAnsi="Times New Roman;serif"/>
          <w:b w:val="false"/>
          <w:i w:val="false"/>
          <w:caps w:val="false"/>
          <w:smallCaps w:val="false"/>
          <w:strike w:val="false"/>
          <w:dstrike w:val="false"/>
          <w:sz w:val="20"/>
          <w:u w:val="none"/>
          <w:effect w:val="none"/>
        </w:rPr>
        <w:t>93%</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which we attribute to our focus and commitment to our employees, our entrepreneurial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culture and partnership orientation, and our meaningful involvement with communities surrounding our offices.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prioritize employee engagement through a range of cross-functional, multi-level communication and collaboration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mediums through both in-person and virtual forums, including small working group lunches, company-wide gatherings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town halls, management off-sites, and charitable volunteer activities.  Through employee participation in our corporate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philanthropic initiatives across our global offices, we are committed to giving back to the communities in which we work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live, and we believe that these initiatives also support our efforts to attract and retain employees.  We provide company-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supported time off to encourage employees in their charitable endeavors.  We also offer a formal gift-matching program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match employee donations to eligible non-profit institutions through AMG and The AMG Charitable Foundation, as well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volunteer-matching program, wherein volunteer hours are matched with philanthropic credits that employees may donate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eligible organizations.  Through our matching program as well as through direct grants, AMG and The AMG Charitable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Foundation have made donations to more than </w:t>
      </w:r>
      <w:r>
        <w:rPr>
          <w:rFonts w:ascii="Times New Roman;serif" w:hAnsi="Times New Roman;serif"/>
          <w:b w:val="false"/>
          <w:i w:val="false"/>
          <w:caps w:val="false"/>
          <w:smallCaps w:val="false"/>
          <w:strike w:val="false"/>
          <w:dstrike w:val="false"/>
          <w:sz w:val="20"/>
          <w:u w:val="none"/>
          <w:effect w:val="none"/>
        </w:rPr>
        <w:t>1,100</w:t>
      </w:r>
      <w:r>
        <w:rPr>
          <w:caps w:val="false"/>
          <w:smallCaps w:val="false"/>
          <w:sz w:val="24"/>
        </w:rPr>
        <w:t xml:space="preserve"> </w:t>
      </w:r>
      <w:r>
        <w:rPr>
          <w:rFonts w:ascii="Times New Roman;serif" w:hAnsi="Times New Roman;serif"/>
          <w:b w:val="false"/>
          <w:i w:val="false"/>
          <w:caps w:val="false"/>
          <w:smallCaps w:val="false"/>
          <w:sz w:val="20"/>
        </w:rPr>
        <w:t>organizations around the world to date.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seek to recruit the best people for each role without regard to gender, ethnicity, or other protected traits, and it is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policy to comply fully with all domestic, foreign, and local laws relating to discrimination in the workplace.  Across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management positions in our workforce, gender diversity is </w:t>
      </w:r>
      <w:r>
        <w:rPr>
          <w:rFonts w:ascii="Times New Roman;serif" w:hAnsi="Times New Roman;serif"/>
          <w:b w:val="false"/>
          <w:i w:val="false"/>
          <w:caps w:val="false"/>
          <w:smallCaps w:val="false"/>
          <w:strike w:val="false"/>
          <w:dstrike w:val="false"/>
          <w:sz w:val="20"/>
          <w:u w:val="none"/>
          <w:effect w:val="none"/>
        </w:rPr>
        <w:t>39%</w:t>
      </w:r>
      <w:r>
        <w:rPr>
          <w:rFonts w:ascii="Times New Roman;serif" w:hAnsi="Times New Roman;serif"/>
          <w:b w:val="false"/>
          <w:i w:val="false"/>
          <w:caps w:val="false"/>
          <w:smallCaps w:val="false"/>
          <w:sz w:val="20"/>
        </w:rPr>
        <w:t>, and nearly half (</w:t>
      </w:r>
      <w:r>
        <w:rPr>
          <w:rFonts w:ascii="Times New Roman;serif" w:hAnsi="Times New Roman;serif"/>
          <w:b w:val="false"/>
          <w:i w:val="false"/>
          <w:caps w:val="false"/>
          <w:smallCaps w:val="false"/>
          <w:strike w:val="false"/>
          <w:dstrike w:val="false"/>
          <w:sz w:val="20"/>
          <w:u w:val="none"/>
          <w:effect w:val="none"/>
        </w:rPr>
        <w:t>47%</w:t>
      </w:r>
      <w:r>
        <w:rPr>
          <w:rFonts w:ascii="Times New Roman;serif" w:hAnsi="Times New Roman;serif"/>
          <w:b w:val="false"/>
          <w:i w:val="false"/>
          <w:caps w:val="false"/>
          <w:smallCaps w:val="false"/>
          <w:sz w:val="20"/>
        </w:rPr>
        <w:t xml:space="preserve">) of our employees are women.  Further,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four of seven (</w:t>
      </w:r>
      <w:r>
        <w:rPr>
          <w:rFonts w:ascii="Times New Roman;serif" w:hAnsi="Times New Roman;serif"/>
          <w:b w:val="false"/>
          <w:i w:val="false"/>
          <w:caps w:val="false"/>
          <w:smallCaps w:val="false"/>
          <w:strike w:val="false"/>
          <w:dstrike w:val="false"/>
          <w:sz w:val="20"/>
          <w:u w:val="none"/>
          <w:effect w:val="none"/>
        </w:rPr>
        <w:t>57%</w:t>
      </w:r>
      <w:r>
        <w:rPr>
          <w:rFonts w:ascii="Times New Roman;serif" w:hAnsi="Times New Roman;serif"/>
          <w:b w:val="false"/>
          <w:i w:val="false"/>
          <w:caps w:val="false"/>
          <w:smallCaps w:val="false"/>
          <w:sz w:val="20"/>
        </w:rPr>
        <w:t>) independent members of our Board of Directors are women, and three of seven (</w:t>
      </w:r>
      <w:r>
        <w:rPr>
          <w:rFonts w:ascii="Times New Roman;serif" w:hAnsi="Times New Roman;serif"/>
          <w:b w:val="false"/>
          <w:i w:val="false"/>
          <w:caps w:val="false"/>
          <w:smallCaps w:val="false"/>
          <w:strike w:val="false"/>
          <w:dstrike w:val="false"/>
          <w:sz w:val="20"/>
          <w:u w:val="none"/>
          <w:effect w:val="none"/>
        </w:rPr>
        <w:t>43%</w:t>
      </w:r>
      <w:r>
        <w:rPr>
          <w:rFonts w:ascii="Times New Roman;serif" w:hAnsi="Times New Roman;serif"/>
          <w:b w:val="false"/>
          <w:i w:val="false"/>
          <w:caps w:val="false"/>
          <w:smallCaps w:val="false"/>
          <w:sz w:val="20"/>
        </w:rPr>
        <w:t xml:space="preserve">) independent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directors are ethnically diverse.  In addition, </w:t>
      </w:r>
      <w:r>
        <w:rPr>
          <w:rFonts w:ascii="Times New Roman;serif" w:hAnsi="Times New Roman;serif"/>
          <w:b w:val="false"/>
          <w:i w:val="false"/>
          <w:caps w:val="false"/>
          <w:smallCaps w:val="false"/>
          <w:strike w:val="false"/>
          <w:dstrike w:val="false"/>
          <w:sz w:val="20"/>
          <w:u w:val="none"/>
          <w:effect w:val="none"/>
        </w:rPr>
        <w:t>two</w:t>
      </w:r>
      <w:r>
        <w:rPr>
          <w:caps w:val="false"/>
          <w:smallCaps w:val="false"/>
          <w:sz w:val="24"/>
        </w:rPr>
        <w:t xml:space="preserve"> </w:t>
      </w:r>
      <w:r>
        <w:rPr>
          <w:rFonts w:ascii="Times New Roman;serif" w:hAnsi="Times New Roman;serif"/>
          <w:b w:val="false"/>
          <w:i w:val="false"/>
          <w:caps w:val="false"/>
          <w:smallCaps w:val="false"/>
          <w:sz w:val="20"/>
        </w:rPr>
        <w:t xml:space="preserve">of our </w:t>
      </w:r>
      <w:r>
        <w:rPr>
          <w:rFonts w:ascii="Times New Roman;serif" w:hAnsi="Times New Roman;serif"/>
          <w:b w:val="false"/>
          <w:i w:val="false"/>
          <w:caps w:val="false"/>
          <w:smallCaps w:val="false"/>
          <w:strike w:val="false"/>
          <w:dstrike w:val="false"/>
          <w:sz w:val="20"/>
          <w:u w:val="none"/>
          <w:effect w:val="none"/>
        </w:rPr>
        <w:t xml:space="preserve">three </w:t>
      </w:r>
      <w:r>
        <w:rPr>
          <w:rFonts w:ascii="Times New Roman;serif" w:hAnsi="Times New Roman;serif"/>
          <w:b w:val="false"/>
          <w:i w:val="false"/>
          <w:caps w:val="false"/>
          <w:smallCaps w:val="false"/>
          <w:sz w:val="20"/>
        </w:rPr>
        <w:t xml:space="preserve">Board committees are chaired by women.  Our executive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management team has responsibility for human capital initiatives, in coordination with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 cross-functional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committee with oversight responsibility for these matters</w:t>
      </w:r>
      <w:r>
        <w:rPr>
          <w:rFonts w:ascii="Times New Roman;serif" w:hAnsi="Times New Roman;serif"/>
          <w:b w:val="false"/>
          <w:i w:val="false"/>
          <w:caps w:val="false"/>
          <w:smallCaps w:val="false"/>
          <w:sz w:val="20"/>
        </w:rPr>
        <w:t>, and reviews these initiatives with our Board of Directors regularly.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Our Website</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Our website is </w:t>
      </w:r>
      <w:r>
        <w:rPr>
          <w:rFonts w:ascii="Times New Roman;serif" w:hAnsi="Times New Roman;serif"/>
          <w:b w:val="false"/>
          <w:i/>
          <w:sz w:val="20"/>
        </w:rPr>
        <w:t>www.amg.com</w:t>
      </w:r>
      <w:r>
        <w:rPr>
          <w:rFonts w:ascii="Times New Roman;serif" w:hAnsi="Times New Roman;serif"/>
          <w:b w:val="false"/>
          <w:i w:val="false"/>
          <w:caps w:val="false"/>
          <w:smallCaps w:val="false"/>
          <w:sz w:val="20"/>
        </w:rPr>
        <w:t xml:space="preserve">.  Our website provides information about us, and, from time to time, we may use it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distribute material company information.  We routinely post financial, investment performance, and other important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regarding the Company in the Investor Relations section of our website and we encourage investors to consult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section regularly.  The Investor Relations section of our website also includes copies of our Annual Reports on Form 10-K,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Quarterly Reports on Form 10-Q, and Current Reports on Form 8-K, including exhibits, and any amendments to those reports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filed or furnished with the SEC pursuant to Section 13(a) or 15(d) of the Securities Exchange Act of 1934, as amended.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make these reports available through our website as soon as reasonably practicable after our electronic filing of such materials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or the furnishing of them to, the SEC.  The information contained or incorporated on our website is not a part of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Annual Report on Form 10-K.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Item 1A.</w:t>
      </w:r>
      <w:r>
        <w:rPr>
          <w:rFonts w:ascii="Times New Roman;serif" w:hAnsi="Times New Roman;serif"/>
          <w:b/>
          <w:i w:val="false"/>
          <w:caps w:val="false"/>
          <w:smallCaps w:val="false"/>
          <w:strike w:val="false"/>
          <w:dstrike w:val="false"/>
          <w:sz w:val="20"/>
          <w:u w:val="none"/>
          <w:effect w:val="none"/>
        </w:rPr>
        <w:t>Risk</w:t>
      </w:r>
      <w:r>
        <w:rPr>
          <w:caps w:val="false"/>
          <w:smallCaps w:val="false"/>
          <w:sz w:val="24"/>
        </w:rPr>
        <w:t xml:space="preserve"> </w:t>
      </w:r>
      <w:r>
        <w:rPr>
          <w:rFonts w:ascii="Times New Roman;serif" w:hAnsi="Times New Roman;serif"/>
          <w:b/>
          <w:i w:val="false"/>
          <w:caps w:val="false"/>
          <w:smallCaps w:val="false"/>
          <w:sz w:val="20"/>
        </w:rPr>
        <w:t xml:space="preserve">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our Affiliates face a variety of risks that are substantial and inherent in our businesses.  The following are some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more important factors that could affect our and our Affiliates’ businesses.  Investors should carefully consider these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along with the other information contained in this Annual Report on Form 10-K, before making an investment decision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regarding our common stock or other publicly-listed securities.  There may be additional risks of which we are currently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unaware, or which we currently consider immaterial.  Any of these risks could have a material adverse effect on our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condition, results of operations, and the market price of our common stock.  Certain statements in “Risk Factors” are forward-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looking statements.  See “Forward-Looking Statements.”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INDUSTRY, BUSINESS AND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financial results depend on our Affiliates’ receipt of asset- and performance-based fees, and are impacted by investment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performance, as well as changes in fee levels, product mix, and the relative levels of assets under management among our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Affiliates.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financial results depend on our Affiliates’ receipt of asset- and performance-based fees, which may vary substantially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year to year.  Our Affiliates’ ability to grow or maintain current fee levels depends on a number of factors, including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investment performance, as well as competition and trends in the investment management industry, such as investor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demand for passively-managed products, including index and exchange traded funds, that typically carry lower fee rates,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preferences for other developing strategies or trends.  Further, different types of assets under management can generate different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ratios of asset-based fees to assets under management (“asset-based fee ratio”), based on factors such as the investment strategy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 type of client.  Thus, a change in the composition of our assets under management, either within an Affiliate or among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Affiliates, could result in a decrease in </w:t>
      </w:r>
      <w:r>
        <w:rPr>
          <w:rFonts w:ascii="Times New Roman;serif" w:hAnsi="Times New Roman;serif"/>
          <w:b w:val="false"/>
          <w:i w:val="false"/>
          <w:caps w:val="false"/>
          <w:smallCaps w:val="false"/>
          <w:strike w:val="false"/>
          <w:dstrike w:val="false"/>
          <w:sz w:val="20"/>
          <w:u w:val="none"/>
          <w:effect w:val="none"/>
        </w:rPr>
        <w:t>our aggregate fees even if our aggregate</w:t>
      </w:r>
      <w:r>
        <w:rPr>
          <w:caps w:val="false"/>
          <w:smallCaps w:val="false"/>
          <w:sz w:val="24"/>
        </w:rPr>
        <w:t xml:space="preserve"> </w:t>
      </w:r>
      <w:r>
        <w:rPr>
          <w:rFonts w:ascii="Times New Roman;serif" w:hAnsi="Times New Roman;serif"/>
          <w:b w:val="false"/>
          <w:i w:val="false"/>
          <w:caps w:val="false"/>
          <w:smallCaps w:val="false"/>
          <w:sz w:val="20"/>
        </w:rPr>
        <w:t xml:space="preserve">assets under management remains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unchanged or increases.  Products that use fee structures based on investment performance may also vary significantly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period to period, depending on the investment performance of the particular product.  For some of our Affiliates, performance-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fees include benchmarks, such as a high-watermark provision, which generally provide that if a product underperforms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an absolute basis or relative to a specified benchmark, it must regain such underperformance before the Affiliate will earn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performance-based fees.  In addition, in the ordinary course of business, our Affiliates may reduce or waive fees on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for particular time periods, to attract or retain assets or for other reasons.  No assurances can be given that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will be able to grow or maintain current fee structures or levels, or that certain strategies they offer will be in demand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 any given time.  A reduction in the fees that our Affiliates receive could have an adverse impact on our financial condition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our structured partnership interests are tailored to meet the needs of each Affiliate and are therefore varied,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earnings may be adversely affected by changes in the relative performance or in the relative levels and mix of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management among our Affiliates, including as a result of restructurings or dispositions of our equity interests in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 independent of our aggregate operating performance measures.  Challenging market conditions, volatility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slowdowns affecting a particular asset class, client type, product structure, geographic region, industry or other category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could have a significant adverse impact on a specific Affiliate if its investments are concentrated in that area,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result in lower investment returns and in turn, lower fees earned at that Affiliate.  Further, certain Affiliates contribute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more significantly to our results than other Affiliates and, therefore, changes in fee levels, particularly with respect to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 performance-based fees, product mix, assets under management, or investment performance, or operational issues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events impacting such Affiliates could have a disproportionate adverse impact on our financial condition and results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financial results could be adversely affected by any reduction in our assets under management, which could reduce the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asset- and performance-based fees earned by our Affiliates.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financial results may be impacted by changes in the total level of our assets under management.  The total level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generally or with respect to particular products or Affiliates could be adversely affected by conditions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outside of our control, including: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 decline in the market value of our assets under management, due to declines or heightened volatility in the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markets, fluctuations in foreign currency exchange rates and interest rates, inflation, changes in the yield curve,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market factors;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changes in investor risk tolerance or investment preferences, which could result in investor allocations away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strategies and products offered by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our Affiliates’ ability to attract and retain client assets and market products and services, which may be impacted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performance, client relationships, demand for product and service offerings, their continued development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products to meet the changing demands of investors, and the prices of securities generally;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global economic conditions, which may be exacerbated by changes in the equity or debt markets, including impacts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shifting monetary policies of the U.S. Federal Reserve Bank and other global central banks, or instability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liquidity issues in the financial system generally;</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financial crises, political or diplomatic developments or instability in the U.S. or globally, including uncertainties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regarding actual and potential changes in domestic, foreign, trade, economic, and other policies, trade tensions, public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health crises, civil unrest, war, terrorism, natural disasters, fluctuations in commodity prices, or risks associated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global climate change;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other factors that are difficult to predict.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reduction in our assets under management could adversely affect the fees payable to our Affiliates and, ultimately,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condition and results of operations.  To the extent any of these conditions or factors adversely affect our 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operations or global economic conditions generally, they may also have the effect of heightening other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described elsewhere in this “Risk Factors” section.</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If our or our Affiliates’ reputations are harmed, we could suffer losses in our business and financial results.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success of our business depends on earning and maintaining the trust and confidence of our Affiliates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stockholders, our ability to compete for future investment opportunities, and our and our Affiliates’ reputations among existing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potential clients.  Our and our Affiliates’ reputations are critical to our business and could be impacted by events that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 difficult or impossible to control, and costly or impossible to remediate, including: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alleged or actual failures by us, our Affiliates, or our respective employees or third-party service providers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counterparties to comply with applicable laws, rules, or regulations, or contractual obligations or instructions;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errors in our public reports;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cyber-attack or data breach incidents;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fund liquidity or valuation issues, or issues relating to the use of leverage, including with respect to assets within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private markets funds, liquid alternative, or similar products of certain of our Affiliates;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threatened or actual litigation against us, any of our Affiliates, or our respective employees;</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perceived or actual conflict between us and any of our Affiliates or among our Affiliates;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changes in the structure of our partnership interests in any of our Affiliates, including any repositioning or divestments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such interests;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research published by securities or industry analysts about us or any of our Affiliates; </w:t>
      </w:r>
    </w:p>
    <w:p>
      <w:pPr>
        <w:pStyle w:val="TextBody"/>
        <w:bidi w:val="0"/>
        <w:spacing w:lineRule="atLeast" w:line="240" w:before="0" w:after="0"/>
        <w:jc w:val="left"/>
        <w:rPr/>
      </w:pPr>
      <w:r>
        <w:rPr>
          <w:caps w:val="false"/>
          <w:smallCaps w:val="false"/>
        </w:rPr>
        <w:t>•</w:t>
      </w:r>
      <w:r>
        <w:rPr>
          <w:rFonts w:ascii="Times New Roman;serif" w:hAnsi="Times New Roman;serif"/>
          <w:b w:val="false"/>
          <w:i w:val="false"/>
          <w:caps w:val="false"/>
          <w:smallCaps w:val="false"/>
          <w:sz w:val="20"/>
        </w:rPr>
        <w:t>negative</w:t>
      </w:r>
      <w:r>
        <w:rPr>
          <w:caps w:val="false"/>
          <w:smallCaps w:val="false"/>
        </w:rPr>
        <w:t xml:space="preserve"> </w:t>
      </w:r>
      <w:r>
        <w:rPr>
          <w:rFonts w:ascii="Times New Roman;serif" w:hAnsi="Times New Roman;serif"/>
          <w:b w:val="false"/>
          <w:i w:val="false"/>
          <w:caps w:val="false"/>
          <w:smallCaps w:val="false"/>
          <w:sz w:val="20"/>
        </w:rPr>
        <w:t>perceptions</w:t>
      </w:r>
      <w:r>
        <w:rPr>
          <w:caps w:val="false"/>
          <w:smallCaps w:val="false"/>
        </w:rPr>
        <w:t xml:space="preserve"> </w:t>
      </w:r>
      <w:r>
        <w:rPr>
          <w:rFonts w:ascii="Times New Roman;serif" w:hAnsi="Times New Roman;serif"/>
          <w:b w:val="false"/>
          <w:i w:val="false"/>
          <w:caps w:val="false"/>
          <w:smallCaps w:val="false"/>
          <w:sz w:val="20"/>
        </w:rPr>
        <w:t>of</w:t>
      </w:r>
      <w:r>
        <w:rPr>
          <w:caps w:val="false"/>
          <w:smallCaps w:val="false"/>
        </w:rPr>
        <w:t xml:space="preserve"> </w:t>
      </w:r>
      <w:r>
        <w:rPr>
          <w:rFonts w:ascii="Times New Roman;serif" w:hAnsi="Times New Roman;serif"/>
          <w:b w:val="false"/>
          <w:i w:val="false"/>
          <w:caps w:val="false"/>
          <w:smallCaps w:val="false"/>
          <w:sz w:val="20"/>
        </w:rPr>
        <w:t>our</w:t>
      </w:r>
      <w:r>
        <w:rPr>
          <w:caps w:val="false"/>
          <w:smallCaps w:val="false"/>
        </w:rPr>
        <w:t xml:space="preserve"> </w:t>
      </w:r>
      <w:r>
        <w:rPr>
          <w:rFonts w:ascii="Times New Roman;serif" w:hAnsi="Times New Roman;serif"/>
          <w:b w:val="false"/>
          <w:i w:val="false"/>
          <w:caps w:val="false"/>
          <w:smallCaps w:val="false"/>
          <w:sz w:val="20"/>
        </w:rPr>
        <w:t>or</w:t>
      </w:r>
      <w:r>
        <w:rPr>
          <w:caps w:val="false"/>
          <w:smallCaps w:val="false"/>
        </w:rPr>
        <w:t xml:space="preserve"> </w:t>
      </w:r>
      <w:r>
        <w:rPr>
          <w:rFonts w:ascii="Times New Roman;serif" w:hAnsi="Times New Roman;serif"/>
          <w:b w:val="false"/>
          <w:i w:val="false"/>
          <w:caps w:val="false"/>
          <w:smallCaps w:val="false"/>
          <w:sz w:val="20"/>
        </w:rPr>
        <w:t>certain</w:t>
      </w:r>
      <w:r>
        <w:rPr>
          <w:caps w:val="false"/>
          <w:smallCaps w:val="false"/>
        </w:rPr>
        <w:t xml:space="preserve"> </w:t>
      </w:r>
      <w:r>
        <w:rPr>
          <w:rFonts w:ascii="Times New Roman;serif" w:hAnsi="Times New Roman;serif"/>
          <w:b w:val="false"/>
          <w:i w:val="false"/>
          <w:caps w:val="false"/>
          <w:smallCaps w:val="false"/>
          <w:sz w:val="20"/>
        </w:rPr>
        <w:t>of</w:t>
      </w:r>
      <w:r>
        <w:rPr>
          <w:caps w:val="false"/>
          <w:smallCaps w:val="false"/>
        </w:rPr>
        <w:t xml:space="preserve"> </w:t>
      </w:r>
      <w:r>
        <w:rPr>
          <w:rFonts w:ascii="Times New Roman;serif" w:hAnsi="Times New Roman;serif"/>
          <w:b w:val="false"/>
          <w:i w:val="false"/>
          <w:caps w:val="false"/>
          <w:smallCaps w:val="false"/>
          <w:sz w:val="20"/>
        </w:rPr>
        <w:t>our</w:t>
      </w:r>
      <w:r>
        <w:rPr>
          <w:caps w:val="false"/>
          <w:smallCaps w:val="false"/>
        </w:rPr>
        <w:t xml:space="preserve"> </w:t>
      </w:r>
      <w:r>
        <w:rPr>
          <w:rFonts w:ascii="Times New Roman;serif" w:hAnsi="Times New Roman;serif"/>
          <w:b w:val="false"/>
          <w:i w:val="false"/>
          <w:caps w:val="false"/>
          <w:smallCaps w:val="false"/>
          <w:sz w:val="20"/>
        </w:rPr>
        <w:t>Affiliates’</w:t>
      </w:r>
      <w:r>
        <w:rPr>
          <w:caps w:val="false"/>
          <w:smallCaps w:val="false"/>
        </w:rPr>
        <w:t xml:space="preserve"> </w:t>
      </w:r>
      <w:r>
        <w:rPr>
          <w:rFonts w:ascii="Times New Roman;serif" w:hAnsi="Times New Roman;serif"/>
          <w:b w:val="false"/>
          <w:i w:val="false"/>
          <w:caps w:val="false"/>
          <w:smallCaps w:val="false"/>
          <w:sz w:val="20"/>
        </w:rPr>
        <w:t>investments</w:t>
      </w:r>
      <w:r>
        <w:rPr>
          <w:caps w:val="false"/>
          <w:smallCaps w:val="false"/>
        </w:rPr>
        <w:t xml:space="preserve"> </w:t>
      </w:r>
      <w:r>
        <w:rPr>
          <w:rFonts w:ascii="Times New Roman;serif" w:hAnsi="Times New Roman;serif"/>
          <w:b w:val="false"/>
          <w:i w:val="false"/>
          <w:caps w:val="false"/>
          <w:smallCaps w:val="false"/>
          <w:sz w:val="20"/>
        </w:rPr>
        <w:t>or</w:t>
      </w:r>
      <w:r>
        <w:rPr>
          <w:caps w:val="false"/>
          <w:smallCaps w:val="false"/>
        </w:rPr>
        <w:t xml:space="preserve"> </w:t>
      </w:r>
      <w:r>
        <w:rPr>
          <w:rFonts w:ascii="Times New Roman;serif" w:hAnsi="Times New Roman;serif"/>
          <w:b w:val="false"/>
          <w:i w:val="false"/>
          <w:caps w:val="false"/>
          <w:smallCaps w:val="false"/>
          <w:sz w:val="20"/>
        </w:rPr>
        <w:t>business</w:t>
      </w:r>
      <w:r>
        <w:rPr>
          <w:caps w:val="false"/>
          <w:smallCaps w:val="false"/>
        </w:rPr>
        <w:t xml:space="preserve"> </w:t>
      </w:r>
      <w:r>
        <w:rPr>
          <w:rFonts w:ascii="Times New Roman;serif" w:hAnsi="Times New Roman;serif"/>
          <w:b w:val="false"/>
          <w:i w:val="false"/>
          <w:caps w:val="false"/>
          <w:smallCaps w:val="false"/>
          <w:sz w:val="20"/>
        </w:rPr>
        <w:t>practices</w:t>
      </w:r>
      <w:r>
        <w:rPr>
          <w:caps w:val="false"/>
          <w:smallCaps w:val="false"/>
        </w:rPr>
        <w:t xml:space="preserve"> </w:t>
      </w:r>
      <w:r>
        <w:rPr>
          <w:rFonts w:ascii="Times New Roman;serif" w:hAnsi="Times New Roman;serif"/>
          <w:b w:val="false"/>
          <w:i w:val="false"/>
          <w:caps w:val="false"/>
          <w:smallCaps w:val="false"/>
          <w:sz w:val="20"/>
        </w:rPr>
        <w:t>by</w:t>
      </w:r>
      <w:r>
        <w:rPr>
          <w:caps w:val="false"/>
          <w:smallCaps w:val="false"/>
        </w:rPr>
        <w:t xml:space="preserve"> </w:t>
      </w:r>
      <w:r>
        <w:rPr>
          <w:rFonts w:ascii="Times New Roman;serif" w:hAnsi="Times New Roman;serif"/>
          <w:b w:val="false"/>
          <w:i w:val="false"/>
          <w:caps w:val="false"/>
          <w:smallCaps w:val="false"/>
          <w:sz w:val="20"/>
        </w:rPr>
        <w:t>stakeholder</w:t>
      </w:r>
      <w:r>
        <w:rPr>
          <w:caps w:val="false"/>
          <w:smallCaps w:val="false"/>
        </w:rPr>
        <w:t xml:space="preserve"> </w:t>
      </w:r>
      <w:r>
        <w:rPr>
          <w:rFonts w:ascii="Times New Roman;serif" w:hAnsi="Times New Roman;serif"/>
          <w:b w:val="false"/>
          <w:i w:val="false"/>
          <w:caps w:val="false"/>
          <w:smallCaps w:val="false"/>
          <w:sz w:val="20"/>
        </w:rPr>
        <w:t>groups</w:t>
      </w:r>
      <w:r>
        <w:rPr>
          <w:caps w:val="false"/>
          <w:smallCaps w:val="false"/>
        </w:rPr>
        <w:t xml:space="preserve"> </w:t>
      </w:r>
      <w:r>
        <w:rPr>
          <w:rFonts w:ascii="Times New Roman;serif" w:hAnsi="Times New Roman;serif"/>
          <w:b w:val="false"/>
          <w:i w:val="false"/>
          <w:caps w:val="false"/>
          <w:smallCaps w:val="false"/>
          <w:sz w:val="20"/>
        </w:rPr>
        <w:t xml:space="preserve">who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increasingly expressed divergent views on a range of environmental, social, and governance matters;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fraudulent impersonations of us, our Affiliates, or our respective employees by third-party bad actors, including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social engineering schemes that attempt to manipulate targeted recipients into sharing confidential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participating in fraudulent investments, purport to offer investment services, or solicit fraudulent investments,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through fake phone calls, e-mails, and websites, and on social media platforms and messaging applications;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other events and factors that are difficult to predict including those that could impact our Affiliates’ ability to compete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effectively with other firms, our ability to successfully pursue our growth strategy, and other risks described elsewhere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this “Risk Factors” section.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of the foregoing events, or the public announcement and potential publicity surrounding these issues, even if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inaccurate, satisfactorily addressed, or if no violation or wrongdoing actually occurred, could adversely impact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reputations and their relationships with clients, our relationships with our Affiliates and business partners, our access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capital markets or other financing, and our ability to negotiate agreements with new independent investment firms, any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could have an adverse effect on our reputation, our financial condition and results of operations, or the market price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common stock.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The investment management industry is highly competitive.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Our Affiliates compete with numerous investment management firms globally, including public, private,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r>
        <w:rPr>
          <w:rFonts w:ascii="Times New Roman;serif" w:hAnsi="Times New Roman;serif"/>
          <w:b w:val="false"/>
          <w:i w:val="false"/>
          <w:caps w:val="false"/>
          <w:smallCaps w:val="false"/>
          <w:sz w:val="20"/>
        </w:rPr>
        <w:t xml:space="preserve">client-owned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advisers; firms managing passively-managed products, including exchange traded funds; firms associated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securities broker-dealers, financial institutions, insurance companies, private equity firms, sovereign wealth funds;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entities.  These firms may have significantly greater financial, technological, and marketing resources, captive distribution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or be subject to less regulation and accordingly have more flexibility to undertake and execute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investments with less compliance expense, and many of these firms may offer products and services that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in particular investment strategies.  These firms may also compete by seeking to capitalize on a trend towards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institutions consolidating the number of investment managers they work with, and advances in technology and digital wealth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distribution tools.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Competition from these firms may reduce the fees that our Affiliates can obtain for investment management services,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impair our Affiliates’ ability to attract and retain client assets, and any failure by our Affiliates to successfully adapt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strategies and develop competitive new products and services, or effectively manage the associated operational risks,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harm our Affiliates’ reputations and competitive positions, and expose them to additional costs or regulatory scrutiny,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adversely affect our assets under management, financial condition and results of operations.  We believe that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ability to compete effectively with other firms depends upon the performance of our Affiliates’ investment strategies,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applicability of products to meet client objectives and preferences, and the continued development of  increasingly complex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strategies and products, including those offered on our U.S. wealth distribution platform, to meet the evolving needs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demands of investors, as well as our Affiliates’ reputations, client relationships, fee structures, client-servicing capabilities,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marketing and distribution of their investment strategies, among other factors.  See “Competition” in Item 1.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compare favorably with their competitors in any or all of these categories, and technological developments,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applications and services based on generative artificial intelligence, machine-learning algorithms, and large language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models (“AI”), may over time reduce the demand for, or clients’ willingness to pay for, certain products and services.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 to time, our Affiliates may also compete with each other for clients and investment opportunities.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Investment management contracts are subject to termination on short notice.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our Affiliates, we derive almost all of our asset- and performance-based fees from clients pursuant to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contracts.  While certain of our Affiliates’ private equity and alternative products have long-term commitment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periods, many of our Affiliates’ investment management contracts are terminable by the client without penalty upon relatively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short notice (typically not longer than 60 days).  We cannot be certain that our Affiliates will be able to retain their existing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clients or attract new clients.  If our Affiliates’ clients, in particular a significant client or a series of significant clients,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terminate their investment management contracts or withdraw a substantial amount of assets for any number of reasons,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poor investment performance, loss of key investment personnel, changes in the client’s decision makers,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reputational, regulatory, or compliance issues, it is likely to harm our results of operations.  In addition,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contracts with mutual funds or other similar products are subject to annual approval by the fund’s board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directors.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may need to raise additional capital in the future, and existing or future resources may not be available to us in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sufficient amounts or on acceptable terms.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we believe that our existing cash resources and cash flow from operations will be sufficient to meet our working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capital needs for normal operations for the foreseeable future, our continuing acquisitions of interests in independent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firms and our other strategic initiatives may require additional capital.  Further, we have significant purchase obligations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relating to Affiliate equity interests, as well as commitments relating to general partner and seed capital investments, and it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difficult to predict the frequency and magnitude of these purchases or associated capital calls.  Additionally, the valuation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certain of these assets on our balance sheet may cause volatility from period to period.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the current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redemption value relating to Affiliate equity interests was </w:t>
      </w:r>
      <w:r>
        <w:rPr>
          <w:rFonts w:ascii="Times New Roman;serif" w:hAnsi="Times New Roman;serif"/>
          <w:b w:val="false"/>
          <w:i w:val="false"/>
          <w:caps w:val="false"/>
          <w:smallCaps w:val="false"/>
          <w:strike w:val="false"/>
          <w:dstrike w:val="false"/>
          <w:sz w:val="20"/>
          <w:u w:val="none"/>
          <w:effect w:val="none"/>
        </w:rPr>
        <w:t>$408.0 million</w:t>
      </w:r>
      <w:r>
        <w:rPr>
          <w:rFonts w:ascii="Times New Roman;serif" w:hAnsi="Times New Roman;serif"/>
          <w:b w:val="false"/>
          <w:i w:val="false"/>
          <w:caps w:val="false"/>
          <w:smallCaps w:val="false"/>
          <w:sz w:val="20"/>
        </w:rPr>
        <w:t xml:space="preserve">, of which </w:t>
      </w:r>
      <w:r>
        <w:rPr>
          <w:rFonts w:ascii="Times New Roman;serif" w:hAnsi="Times New Roman;serif"/>
          <w:b w:val="false"/>
          <w:i w:val="false"/>
          <w:caps w:val="false"/>
          <w:smallCaps w:val="false"/>
          <w:strike w:val="false"/>
          <w:dstrike w:val="false"/>
          <w:sz w:val="20"/>
          <w:u w:val="none"/>
          <w:effect w:val="none"/>
        </w:rPr>
        <w:t>$246.8 million</w:t>
      </w:r>
      <w:r>
        <w:rPr>
          <w:caps w:val="false"/>
          <w:smallCaps w:val="false"/>
          <w:sz w:val="24"/>
        </w:rPr>
        <w:t xml:space="preserve"> </w:t>
      </w:r>
      <w:r>
        <w:rPr>
          <w:rFonts w:ascii="Times New Roman;serif" w:hAnsi="Times New Roman;serif"/>
          <w:b w:val="false"/>
          <w:i w:val="false"/>
          <w:caps w:val="false"/>
          <w:smallCaps w:val="false"/>
          <w:sz w:val="20"/>
        </w:rPr>
        <w:t xml:space="preserve">was presented 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Redeemable non-controlling interests (including </w:t>
      </w:r>
      <w:r>
        <w:rPr>
          <w:rFonts w:ascii="Times New Roman;serif" w:hAnsi="Times New Roman;serif"/>
          <w:b w:val="false"/>
          <w:i w:val="false"/>
          <w:caps w:val="false"/>
          <w:smallCaps w:val="false"/>
          <w:strike w:val="false"/>
          <w:dstrike w:val="false"/>
          <w:sz w:val="20"/>
          <w:u w:val="none"/>
          <w:effect w:val="none"/>
        </w:rPr>
        <w:t>$32.2 million</w:t>
      </w:r>
      <w:r>
        <w:rPr>
          <w:caps w:val="false"/>
          <w:smallCaps w:val="false"/>
          <w:sz w:val="24"/>
        </w:rPr>
        <w:t xml:space="preserve"> </w:t>
      </w:r>
      <w:r>
        <w:rPr>
          <w:rFonts w:ascii="Times New Roman;serif" w:hAnsi="Times New Roman;serif"/>
          <w:b w:val="false"/>
          <w:i w:val="false"/>
          <w:caps w:val="false"/>
          <w:smallCaps w:val="false"/>
          <w:sz w:val="20"/>
        </w:rPr>
        <w:t xml:space="preserve">of consolidated Affiliate sponsored investment products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primarily attributable to third-party investors), and </w:t>
      </w:r>
      <w:r>
        <w:rPr>
          <w:rFonts w:ascii="Times New Roman;serif" w:hAnsi="Times New Roman;serif"/>
          <w:b w:val="false"/>
          <w:i w:val="false"/>
          <w:caps w:val="false"/>
          <w:smallCaps w:val="false"/>
          <w:strike w:val="false"/>
          <w:dstrike w:val="false"/>
          <w:sz w:val="20"/>
          <w:u w:val="none"/>
          <w:effect w:val="none"/>
        </w:rPr>
        <w:t>$161.2 million</w:t>
      </w:r>
      <w:r>
        <w:rPr>
          <w:caps w:val="false"/>
          <w:smallCaps w:val="false"/>
          <w:sz w:val="24"/>
        </w:rPr>
        <w:t xml:space="preserve"> </w:t>
      </w:r>
      <w:r>
        <w:rPr>
          <w:rFonts w:ascii="Times New Roman;serif" w:hAnsi="Times New Roman;serif"/>
          <w:b w:val="false"/>
          <w:i w:val="false"/>
          <w:caps w:val="false"/>
          <w:smallCaps w:val="false"/>
          <w:sz w:val="20"/>
        </w:rPr>
        <w:t xml:space="preserve">was included in Other liabilities.  See “Liquidity and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Resources-Affiliate Equity” in Item 7 and Notes 13 and 14 of the Consolidated Financial Statements.  Unfunded commitments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relating to general partner and seed capital investments were </w:t>
      </w:r>
      <w:r>
        <w:rPr>
          <w:rFonts w:ascii="Times New Roman;serif" w:hAnsi="Times New Roman;serif"/>
          <w:b w:val="false"/>
          <w:i w:val="false"/>
          <w:caps w:val="false"/>
          <w:smallCaps w:val="false"/>
          <w:strike w:val="false"/>
          <w:dstrike w:val="false"/>
          <w:sz w:val="20"/>
          <w:u w:val="none"/>
          <w:effect w:val="none"/>
        </w:rPr>
        <w:t>$285.0 million</w:t>
      </w:r>
      <w:r>
        <w:rPr>
          <w:caps w:val="false"/>
          <w:smallCaps w:val="false"/>
          <w:sz w:val="24"/>
        </w:rPr>
        <w:t xml:space="preserve"> </w:t>
      </w: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See Notes 2 and 6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Financial Statements.  These obligations may require more cash than is then available from our existing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resources and cash flows from operations.  Thus, we may need to raise capital through additional borrowings or by selling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shares of our common stock or other equity or debt securities, or otherwise refinance a portion of these obligations.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outstanding debt of </w:t>
      </w:r>
      <w:r>
        <w:rPr>
          <w:rFonts w:ascii="Times New Roman;serif" w:hAnsi="Times New Roman;serif"/>
          <w:b w:val="false"/>
          <w:i w:val="false"/>
          <w:caps w:val="false"/>
          <w:smallCaps w:val="false"/>
          <w:strike w:val="false"/>
          <w:dstrike w:val="false"/>
          <w:sz w:val="20"/>
          <w:u w:val="none"/>
          <w:effect w:val="none"/>
        </w:rPr>
        <w:t>$2.7 billion</w:t>
      </w:r>
      <w:r>
        <w:rPr>
          <w:rFonts w:ascii="Times New Roman;serif" w:hAnsi="Times New Roman;serif"/>
          <w:b w:val="false"/>
          <w:i w:val="false"/>
          <w:caps w:val="false"/>
          <w:smallCaps w:val="false"/>
          <w:sz w:val="20"/>
        </w:rPr>
        <w:t xml:space="preserve">.  Our level of indebtedness may increase if we,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subsidiaries, and/or our consolidated Affiliates fund future investments or other expenses through borrowings.  We may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seek to refinance existing indebtedness for the purpose of managing maturity dates, to seek alternative financing terms or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reasons, which may not be available on similar terms as our existing indebtedness, including with respect to interest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additional indebtedness could increase our vulnerability to general adverse economic and industry conditions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require us to dedicate a greater portion of our cash flows from operations to payments on our indebtedness.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financing activities described above could increase our Interest expense, decrease our Net income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or dilute the interests of our existing stockholders.  In addition, our access to additional capital, and the cost of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able to access, is influenced by a number of factors, including the state of global credit and equity markets, interest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credit spreads, and our credit ratings.  As a result, we may be unable to enter into new credit facilities or issue debt or equity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future on attractive terms, or at all.  We are currently rated </w:t>
      </w:r>
      <w:r>
        <w:rPr>
          <w:rFonts w:ascii="Times New Roman;serif" w:hAnsi="Times New Roman;serif"/>
          <w:b w:val="false"/>
          <w:i w:val="false"/>
          <w:caps w:val="false"/>
          <w:smallCaps w:val="false"/>
          <w:strike w:val="false"/>
          <w:dstrike w:val="false"/>
          <w:sz w:val="20"/>
          <w:u w:val="none"/>
          <w:effect w:val="none"/>
        </w:rPr>
        <w:t>A3</w:t>
      </w:r>
      <w:r>
        <w:rPr>
          <w:caps w:val="false"/>
          <w:smallCaps w:val="false"/>
          <w:sz w:val="24"/>
        </w:rPr>
        <w:t xml:space="preserve"> </w:t>
      </w:r>
      <w:r>
        <w:rPr>
          <w:rFonts w:ascii="Times New Roman;serif" w:hAnsi="Times New Roman;serif"/>
          <w:b w:val="false"/>
          <w:i w:val="false"/>
          <w:caps w:val="false"/>
          <w:smallCaps w:val="false"/>
          <w:sz w:val="20"/>
        </w:rPr>
        <w:t xml:space="preserve">by Moody’s Investors Service and </w:t>
      </w:r>
      <w:r>
        <w:rPr>
          <w:rFonts w:ascii="Times New Roman;serif" w:hAnsi="Times New Roman;serif"/>
          <w:b w:val="false"/>
          <w:i w:val="false"/>
          <w:caps w:val="false"/>
          <w:smallCaps w:val="false"/>
          <w:strike w:val="false"/>
          <w:dstrike w:val="false"/>
          <w:sz w:val="20"/>
          <w:u w:val="none"/>
          <w:effect w:val="none"/>
        </w:rPr>
        <w:t>BBB+</w:t>
      </w:r>
      <w:r>
        <w:rPr>
          <w:caps w:val="false"/>
          <w:smallCaps w:val="false"/>
          <w:sz w:val="24"/>
        </w:rPr>
        <w:t xml:space="preserve"> </w:t>
      </w:r>
      <w:r>
        <w:rPr>
          <w:rFonts w:ascii="Times New Roman;serif" w:hAnsi="Times New Roman;serif"/>
          <w:b w:val="false"/>
          <w:i w:val="false"/>
          <w:caps w:val="false"/>
          <w:smallCaps w:val="false"/>
          <w:sz w:val="20"/>
        </w:rPr>
        <w:t xml:space="preserve">by S&amp;P Global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Ratings.  A reduction in our credit ratings could also increase our borrowing costs under our revolver or, in certain cases, give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rise to a termination right by the counterparty under our derivative financial instruments, if any.  There can be no assurance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will achieve a particular credit rating or maintain any particular rating in the future.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debt agreements impose certain covenants relating to the conduct of our business, including financial covenants under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revolver, any breach of which could result in the acceleration of the repayment of any amounts borrowed or outstanding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thereunder.</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debt agreements contain customary affirmative operating covenants and negative covenants that, among other things,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place certain limitations on our and our subsidiaries’ ability to incur debt, merge or transfer assets, and create liens and,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case of our revolver, require us to maintain specified financial ratios, including a maximum leverage ratio and a minimum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coverage ratio.  The breach of any covenant (either due to our actions or omissions or, in the case of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covenants, due to a significant and prolonged market-driven decline in our operating results) could result in a default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applicable debt agreement and, in the case of our revolver, lenders could refuse to make further extensions of credit to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in the event of certain defaults, amounts borrowed under our debt agreements, together with accrued interest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fees, could become immediately due and payable.  If any indebtedness were to become subject to accelerated repayment,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not have sufficient liquid assets to repay such indebtedness in full.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have substantial intangibles on our balance sheet, and any impairment of our intangibles could adversely affect our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financial condition and results of operations.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total assets were </w:t>
      </w:r>
      <w:r>
        <w:rPr>
          <w:rFonts w:ascii="Times New Roman;serif" w:hAnsi="Times New Roman;serif"/>
          <w:b w:val="false"/>
          <w:i w:val="false"/>
          <w:caps w:val="false"/>
          <w:smallCaps w:val="false"/>
          <w:strike w:val="false"/>
          <w:dstrike w:val="false"/>
          <w:sz w:val="20"/>
          <w:u w:val="none"/>
          <w:effect w:val="none"/>
        </w:rPr>
        <w:t>$9.2 billion</w:t>
      </w:r>
      <w:r>
        <w:rPr>
          <w:rFonts w:ascii="Times New Roman;serif" w:hAnsi="Times New Roman;serif"/>
          <w:b w:val="false"/>
          <w:i w:val="false"/>
          <w:caps w:val="false"/>
          <w:smallCaps w:val="false"/>
          <w:sz w:val="20"/>
        </w:rPr>
        <w:t xml:space="preserve">, of which </w:t>
      </w:r>
      <w:r>
        <w:rPr>
          <w:rFonts w:ascii="Times New Roman;serif" w:hAnsi="Times New Roman;serif"/>
          <w:b w:val="false"/>
          <w:i w:val="false"/>
          <w:caps w:val="false"/>
          <w:smallCaps w:val="false"/>
          <w:strike w:val="false"/>
          <w:dstrike w:val="false"/>
          <w:sz w:val="20"/>
          <w:u w:val="none"/>
          <w:effect w:val="none"/>
        </w:rPr>
        <w:t>$4.2 billion</w:t>
      </w:r>
      <w:r>
        <w:rPr>
          <w:caps w:val="false"/>
          <w:smallCaps w:val="false"/>
          <w:sz w:val="24"/>
        </w:rPr>
        <w:t xml:space="preserve"> </w:t>
      </w:r>
      <w:r>
        <w:rPr>
          <w:rFonts w:ascii="Times New Roman;serif" w:hAnsi="Times New Roman;serif"/>
          <w:b w:val="false"/>
          <w:i w:val="false"/>
          <w:caps w:val="false"/>
          <w:smallCaps w:val="false"/>
          <w:sz w:val="20"/>
        </w:rPr>
        <w:t xml:space="preserve">were intangibles, and </w:t>
      </w:r>
      <w:r>
        <w:rPr>
          <w:rFonts w:ascii="Times New Roman;serif" w:hAnsi="Times New Roman;serif"/>
          <w:b w:val="false"/>
          <w:i w:val="false"/>
          <w:caps w:val="false"/>
          <w:smallCaps w:val="false"/>
          <w:strike w:val="false"/>
          <w:dstrike w:val="false"/>
          <w:sz w:val="20"/>
          <w:u w:val="none"/>
          <w:effect w:val="none"/>
        </w:rPr>
        <w:t>$2.9 billion</w:t>
      </w:r>
      <w:r>
        <w:rPr>
          <w:caps w:val="false"/>
          <w:smallCaps w:val="false"/>
          <w:sz w:val="24"/>
        </w:rPr>
        <w:t xml:space="preserve"> </w:t>
      </w:r>
      <w:r>
        <w:rPr>
          <w:rFonts w:ascii="Times New Roman;serif" w:hAnsi="Times New Roman;serif"/>
          <w:b w:val="false"/>
          <w:i w:val="false"/>
          <w:caps w:val="false"/>
          <w:smallCaps w:val="false"/>
          <w:sz w:val="20"/>
        </w:rPr>
        <w:t xml:space="preserve">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method investments in Affiliates, an amount primarily composed of intangible assets.  We cannot be certain that we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realize the value of such intangible assets.  Our intangible assets may become impaired as a result of any number of factors,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changes in market conditions, declines in the value of assets under management, client attrition, product performance,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reductions in fee rates, and changes in strategic objectives or growth prospects of an Affiliate.  An impairment of our intangible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or an other-than-temporary decline in the value of our equity method investments could adversely affect our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condition and results of operations.  Determining the value of intangible assets, and evaluating them for impairment, requires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management to exercise significant judgment.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recorded expenses to reduce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carrying value to fair value of certain acquired client relationships, and in prior periods we have recorded expenses to reduce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carrying value to fair value of certain Affiliates and/or certain acquired client relationships, and may experience similar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impairment events in future reporting periods.  See “Critical Accounting Estimates and Judgments” in Item 7 and Notes </w:t>
      </w:r>
      <w:r>
        <w:rPr>
          <w:rFonts w:ascii="Times New Roman;serif" w:hAnsi="Times New Roman;serif"/>
          <w:b w:val="false"/>
          <w:i w:val="false"/>
          <w:caps w:val="false"/>
          <w:smallCaps w:val="false"/>
          <w:strike w:val="false"/>
          <w:dstrike w:val="false"/>
          <w:sz w:val="20"/>
          <w:u w:val="none"/>
          <w:effect w:val="none"/>
        </w:rPr>
        <w:t>7 and 8</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the Consolidated Financial Statements.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Market risk management activities may adversely affect our liquidity and 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management transactions, capital markets financings, and certain investments or other transactions may create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exposure for us or our Affiliates to changes in interest rates, foreign currency exchange rates, marketable securities,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markets generally, which we or our Affiliates may seek to offset by entering into derivative financial instruments.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scope of these risk management activities is selective and varies based on the level and volatility of interest rates, foreign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currency exchange rates, applicable marketable securities, and other changing market conditions.  We and our Affiliates do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seek to hedge exposure to all market risks, which means that exposure to certain market risks is not limited.  Further, the use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derivative financial instruments does not entirely eliminate the possibility of fluctuations in the value of the underlying position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prevent losses if the value of the position declines, and also can limit the opportunity for gain if the value of the position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increases.  There can be no assurance that our or our Affiliates’ derivative financial instruments will meet their overall objective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that we or our Affiliates will be successful in entering into such instruments in the future.  Further, while hedging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arrangements may reduce certain risks, such arrangements themselves may entail other risks, may generate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costs, and may require the posting of cash collateral.  For example, if our or our Affiliates’ counterparties fail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honor their obligations in a timely manner, including any obligations to return posted collateral, our liquidity and results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operations could be adversely impacted.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STRATEGY AND OUR STRUCTURED PARTNERSHIPS WITH AFFILIATES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growth strategy depends in part upon our ability to identify and consummate investments in suitable independent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investment firms.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continued success in investing in independent investment firms will depend upon our ability to find suitable firms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to invest or make additional investments in our existing Affiliates, our ability to negotiate agreements with such firms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acceptable terms, maintaining our relationships with prospects and our reputation as a leading partner to these firms,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ability to raise the capital necessary to finance such transactions.  The market for acquisitions of interests in these firms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highly competitive.  Many other public and private financial services companies, including commercial and investment banks,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private equity firms, sovereign wealth funds, insurance companies, and investment management firms, also invest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 investment firms and may have significantly greater resources than we do.  In addition to direct competition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particular prospects, these firms can also negatively impact the volume and value of transactions more broadly.  Further,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innovative partnership approach with our Affiliates is designed to enhance our Affiliates’ ability to achieve their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strategic objectives, while preserving their independence and autonomy, and, therefore, their unique entrepreneurial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investment-centric cultures, and the management of some target firms may prefer terms and structures offered by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competitors.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may not be successful in making investments in new firms or maintaining existing investments, and any firms that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 invest in may not have favorable results or performance following our initial investment or any subsequent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which could have an adverse effect on our financial condition and results of operations.  Our investments involve a number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risks, including regulatory considerations and the existence of unknown liabilities that may arise after making an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some of which may depend upon factors that are not under our control.  We may also make new investments using complex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innovative structures and terms, including joint ventures, deferred economics, or product development partnerships, which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introduce additional risks and uncertainties.  Further, the consummation of our announced investments is generally subject to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number of closing conditions, </w:t>
      </w:r>
      <w:r>
        <w:rPr>
          <w:rFonts w:ascii="Times New Roman;serif" w:hAnsi="Times New Roman;serif"/>
          <w:b w:val="false"/>
          <w:i w:val="false"/>
          <w:caps w:val="false"/>
          <w:smallCaps w:val="false"/>
          <w:strike w:val="false"/>
          <w:dstrike w:val="false"/>
          <w:sz w:val="20"/>
          <w:u w:val="none"/>
          <w:effect w:val="none"/>
        </w:rPr>
        <w:t>contingencies, and</w:t>
      </w:r>
      <w:r>
        <w:rPr>
          <w:caps w:val="false"/>
          <w:smallCaps w:val="false"/>
          <w:sz w:val="24"/>
        </w:rPr>
        <w:t xml:space="preserve"> </w:t>
      </w:r>
      <w:r>
        <w:rPr>
          <w:rFonts w:ascii="Times New Roman;serif" w:hAnsi="Times New Roman;serif"/>
          <w:b w:val="false"/>
          <w:i w:val="false"/>
          <w:caps w:val="false"/>
          <w:smallCaps w:val="false"/>
          <w:sz w:val="20"/>
        </w:rPr>
        <w:t xml:space="preserve">approvals, including, but not limited to, obtaining certain consents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 investment firm’s clients and applicable regulatory approvals.  In the event that an announced transaction is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consummated, we may experience a decline in the price of our common stock.</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growth strategy also includes selectively pursuing strategic partnerships, transactions, joint ventures, and initiatives,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which could involve additional risks and uncertainties.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growth strategy also includes selectively pursuing strategic partnerships, transactions, joint ventures, and initiatives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areas where we can assist our Affiliates in growing and diversifying their businesses (including through seed capital, general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partner commitments, and other strategic investments in our Affiliates and their funds), to further enhance our competitive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position, or where we believe we can add value and generate meaningful returns.  These strategic partnerships, transactions,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joint ventures, and initiatives may be complementary to our existing business or involve new operational areas, product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structures, or strategies (including in private markets and liquid alternatives), which includes, among others, initiatives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the number and type of investment products offered to high-net-worth individuals and families through our U.S. wealth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global distribution platforms, and expanding the geography and scope of our operations.  These initiatives involve risks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uncertainties, including compliance with additional regulatory and disclosure requirements, increased potential for disputes,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exposure to more volatile market segments and reputational risks, and significant commitments of capital over extended periods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time.  Addressing these risks and uncertainties may require additional resources and investment, including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implementation of new operational controls and procedures, as well as require complex contractual arrangements, structures,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specialized skills.  There is no certainty that such initiatives will deliver the anticipated benefits over the expected time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frame or at all, or that our stockholders will react favorably.  Any failure to successfully execute on strategic partnerships,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joint ventures, or initiatives, including in connection with our entry into new operational areas or effectively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managing associated risks, or by our Affiliates in deploying strategic capital into suitable new investment opportunities,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harm our reputation and expose us to additional costs or divert resources from other opportunities, which could adversely affect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assets under management, financial condition, 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The structure of our partnership interests in our Affiliates may expose us to unanticipated changes in Affiliate revenue,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operating expenses, and other commitments, which we may not anticipate and may have limited ability to control.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form of our structured partnership interests in our Affiliates differs from Affiliate to Affiliate, and may change during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course of our investment.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structures where we contractually share in the Affiliate’s revenue without regard to expenses, comprising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that contribute a majority of Consolidated revenue, the Affiliate allocates a specified percentage of its revenue to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Affiliate management, while using the remainder for operating expenses and additional distributions to Affiliate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In these types of structures, while our distributions generally have priority, our agreed allocations may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anticipate changes in the revenue and operating expense base of the Affiliate, and the revenue remaining after our specified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 is allocated to us may not be large enough to cover all of the Affiliate’s operating expenses, which could result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reduction of the amount allocated to us or could negatively impact the Affiliate’s operations and prospects.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structures where we contractually share in the Affiliate’s revenue less agreed-upon expenses, we benefit from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increase in revenue or any decrease in the agreed-upon expenses, but also have exposure to any decrease in revenue or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such expenses.  The degree of our exposure to agreed-upon expenses from these structured partnership interests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varies by Affiliate (and may change during the course of our investment), and includes several Affiliates in which we fully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 in the expenses of the business.  In these types of structures, we may have limited or no ability to control the level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at the Affiliate, and our distributions generally do not have priority.  Further, the impact of Affiliate expenses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and our stock price could increase if the portion of our earnings derived from such Affiliates increases.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 result of these factors, unanticipated changes in revenue, operating expenses, or other commitments at any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could leave the Affiliate with a shortfall in remaining funds for distribution to us or Affiliate management, or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funding their operations.  Changes in the global marketplace in particular could result in rapid changes to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or expenses, and our Affiliates may be unable to make appropriate expense reductions in a timely manner to respond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such changes.  Any of these developments could have an adverse effect on our financial condition generally, and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results of operations for the applicable reporting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Additionally, regardless of the particular structure, we may agree to change the structure, or may elect to defer or forgo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receipt of our share of an Affiliate’s revenue or earnings, or adjust expenses allocated to us, to permit the Affiliate to fund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in light of unanticipated changes in revenue or operating expenses, with the aim of maximizing the long-term benefits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us and the Affiliate.  These types of activities could increase during periods where an Affiliate’s revenues decline rapidly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other events occur that impact the Affiliate’s expenses or operations.  We cannot be certain that any such deferral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forbearance would be of any greater long-term benefit to us, and such a deferral or forbearance may have an adverse effect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near- or long-term financial condition and results of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may reposition or divest our equity interests in our Affiliates, and we cannot be certain that any such repositioning or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divestment will benefit us in the near- or long-term.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we may reposition our relationships with our Affiliates, which could, among other things, include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to our structured partnership interests, including changes in our ownership level and in the calculation of our share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and/or operating expenses.  Such repositioning may be done in order to address an Affiliate’s succession planning,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changes in its revenue or operating expense base, our or the Affiliate’s strategic planning, regulatory considerations,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developments.  Any repositioning of our interest in an Affiliate may result in increased exposure to changes in the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and/or operating expenses, or in additional investments or commitments from us, or could increase or reduce,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the structure of, our interest in the Affiliate, or cause misalignment with Affiliate management.  In some cases,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result in the partial or full divestment of our interest to Affiliate management or to a third-party, or in our acquisition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of the equity interests of the Affiliate.  The divestment of our interests in an Affiliate may result in changes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composition of our assets under management or client cash flows, and there can be no assurance that the proceeds from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transactions will be deployed more effectively, including for new investments or other strategic initiatives, than if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retained our interest in such Affiliate.  In addition, certain of our Affiliates have customary rights in certain circumstances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restructure or sell their interests in their firm to a third-party, which could be through a direct majority or minority sale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 a private or public offering, or otherwise, and to cause us to participate in such restructuring or sale, which could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terms that we view as less favorable than an alternative transaction or to retaining our interest, or that we may view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favorably, but results in reduced control for us, shifting incentives, and creating additional risks and uncertainties.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occurrence of any of the above transactions or changes, increases in the frequency thereof, or disputes in relation to such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transactions or changes, could have an adverse impact on our reputation, financial condition, and results of operations, as well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 on our relationships with existing and prospective Affiliates, and could divert capital from other opportunities.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We and our Affiliates rely on certain key personnel and cannot guarantee their continued service.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depend on the efforts of our executive officers and our other officers and employees.  Our executive officers,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particular, play an important role in the stability and growth of our existing Affiliates and in identifying potential investments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independent investment firms.  There is no guarantee that these executive officers will remain with the Company.  We do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employment agreements with our executive officers, although each has a significant deferred equity interest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and is subject to non-solicitation and non-competition restrictions that may be triggered upon their departure.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we seek to attract and retain our key officers and employees through a number of initiatives and programs,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developing a strong values-based culture, a commitment to career development, employee engagement, attractive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benefits programs, attention to succession planning, and fostering of organizational diversity, any of which may 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successful in contributing to the retention of such employees.  Changes in our management team, in particular, may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disruptive to our business, and failure to attract and retain members of our executive or senior management team, 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effectively implement and manage appropriate succession plans, could adversely affect our business, financial condition,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our Affiliates depend heavily on the services of key principals who, in many cases, have managed their firms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many years.  These principals often are primarily responsible for their firm’s investment decisions.  Although we use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combination of economic incentives, transfer restrictions and, in some instances, non-solicitation, non-competition,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employment agreements in an effort to retain key Affiliate personnel, there is no guarantee that these principals will remain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their firms or refrain from competing with us if they depart their firms.  The market for highly skilled professionals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 management industry is highly competitive, particularly in alternative strategies, and further technological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advancements, including with respect to AI, could result in increased demand and competition for individuals with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specialized skills and technological knowledge.  These individuals also have an increasing number of employment options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outside of asset management firms, such as family offices and multi-manager platforms.  Further, the departure of key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individuals at an Affiliate could also cause investors to reduce or terminate their investments in such Affiliates’ funds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or trigger certain provisions tied to the departure of, or cessation of committed time, by specified persons (known as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key person” provisions) in the documentation governing certain Affiliate products and funds, which could permit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suspension or termination of those products’ investment periods.  In addition, the pervasiveness of social media and public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focus on the externalities of business activities could lead to wider dissemination of adverse or inaccurate information relating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such key individuals, making remediation more difficult and magnifying reputational risk.  Since certain of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contribute more significantly to our results than other Affiliates, the loss of key personnel at these Affiliates could have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disproportionately adverse impact on our business, financial condition, and results of operations.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RISKS RELATED TO OUR COMMON STOCK</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Equity markets and our common stock have been volatile.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market price of our common stock has experienced and may continue to experience volatility, and the broader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markets have experienced and may continue to experience significant price and volume fluctuations.  In addition,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announcements of our financial and operating results or other material information, including changes in net client cash flows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assets under management, announcements and activity regarding our share repurchase programs, changes in our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guidance or our failure to meet such guidance, our new investments activity, changes in general conditions in the economy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financial markets, perceptions regarding our environmental, social, and governance profile or sustainable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decisions of our Affiliates, and other developments affecting us, our Affiliates, or our competitors, as well as geopolitical,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social, regulatory, capital markets, economic, public health, and other factors unrelated to us, could cause the market price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common stock to fluctuate substantially.</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The sale or issuance of substantial amounts of our common stock, or the expectation that such sales or issuances will occur,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could adversely impact the price of our common stock.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sale or issuance of substantial amounts of our common stock in the public market could adversely impact its price.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connection with our financing activities we maintain an equity distribution program, under which we may issue shares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common stock from time to time.  We also have outstanding option and restricted stock awards that have been granted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share-based incentive plans.  Additionally, we have the right to settle certain Affiliate equity purchase obligations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shares of our common stock.  Moreover, in connection with future financing activities, we may issue convertible securities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shares of our common stock, including through forward equity transactions.  Any such issuance of shares of our common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have the effect of substantially diluting the interests of our current equity holders.  In the event that a large number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shares of our common stock are sold or issued in the public market, or the expectation that such sales or issuances will occur,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price of our common stock may decline as a result.</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Provisions in our organizational documents, Delaware law, and other factors could delay or prevent a change in control of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the Company, or adversely affect our financial results in periods prior to and following a change in control.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Provisions in our charter and by-laws and anti-takeover provisions under Delaware law could discourage, delay, or prevent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unsolicited change in control of the Company.  These provisions may also have the effect of making it more difficult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third parties to replace our executive officers without the consent of our Board of Directors.  These provisions include:</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ability of our Board of Directors to issue preferred stock and to determine the terms, rights, and preferences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preferred stock without stockholder approval;</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the prohibition on the right of stockholders to call meetings or act by written consent and limitations on the right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stockholders to present proposals or make nominations at stockholder meetings; and</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legal restrictions on mergers and other business combinations between us and any holder of 15 percent or more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common stock.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given our long-term innovative partnership approach with our Affiliates, which is designed to maintain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independence and autonomy, and, therefore, their unique entrepreneurial and investment-centric cultures, a change in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viewed negatively by our Affiliates, impacting their relationships with us.  Additionally, the disposition of certain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following a change in control could result in the immediate realization of taxes owed on any excess proceeds above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tax basis in the relevant Affiliate, which could impact the valuation a third-party may apply to us in a change in control.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of the forgoing factors may inhibit a change in control in circumstances that could give our stockholders the opportunity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realize a premium over the market price of our common stock, or may result in negative impacts on our financial results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periods prior to and following a change in control.</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a change in control of the Company or the acquisition of a large ownership position in shares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outstanding common stock by a single holder may constitute a change in control for certain of our Affiliates for purposes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Advisers Act and the Investment Company Act.  In that case, absent client consents, the Affiliate’s management agreements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deemed to be “assigned” in violation of the agreement and, for mutual fund clients, will terminate.  We cannot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that any required client consents (which the impacted Affiliates would need to be involved in requesting) would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obtained if such a change of control occurs.  Any termination, deemed assignment or renegotiation of any of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agreements could result in a reduction in our assets under management or the fees payable to our Affiliates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ultimately, </w:t>
      </w:r>
      <w:r>
        <w:rPr>
          <w:rFonts w:ascii="Times New Roman;serif" w:hAnsi="Times New Roman;serif"/>
          <w:b w:val="false"/>
          <w:i w:val="false"/>
          <w:caps w:val="false"/>
          <w:smallCaps w:val="false"/>
          <w:strike w:val="false"/>
          <w:dstrike w:val="false"/>
          <w:sz w:val="20"/>
          <w:u w:val="none"/>
          <w:effect w:val="none"/>
        </w:rPr>
        <w:t>our aggregate fees.</w:t>
      </w:r>
      <w:r>
        <w:rPr>
          <w:caps w:val="false"/>
          <w:smallCaps w:val="false"/>
          <w:sz w:val="24"/>
        </w:rPr>
        <w:t xml:space="preserve">  </w:t>
      </w:r>
      <w:r>
        <w:rPr>
          <w:rFonts w:ascii="Times New Roman;serif" w:hAnsi="Times New Roman;serif"/>
          <w:b w:val="false"/>
          <w:i w:val="false"/>
          <w:caps w:val="false"/>
          <w:smallCaps w:val="false"/>
          <w:sz w:val="20"/>
        </w:rPr>
        <w:t xml:space="preserve">Further, certain of our Affiliates operate regulated businesses in jurisdictions outside of the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in some cases, require regulatory notifications and other filings if a single stockholder acquires an ownership position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 exceeding certain specified thresholds, regardless of whether a change in control has occurred for purposes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Advisers Act or the Investment Company Act.  Such an ownership position could also trigger approvals under FINRA,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operating a broker-dealer in the U.S.  As a result, a large ownership position in our stock, whether or not resulting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of control of the Company, could result in increased regulatory reporting and compliance costs, and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restrictions on our or our Affiliates’ business activities, and could reduce the fees that our Affiliates receive under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contracts, any of which could have an adverse effect on the Company’s financial condition and results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LEGAL AND REGULATORY RISKS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and our Affiliates’ businesses are highly regulated.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and our Affiliates’ businesses are subject to complex and extensive regulation by regulatory and self-regulatory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authorities and exchanges in various jurisdictions around the world, which, for our Affiliates and our U.S. wealth distribution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subsidiary, include those applicable to investment advisers, as detailed in “Government Regulation” in Item 1.  Applicable laws,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rules, and regulations impose requirements, restrictions, and limitations on our and our Affiliates’ businesses, and can result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compliance and operational costs.  Further, this regulatory environment may be altered without notice by new laws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regulations, revisions to existing laws or regulations, or new or revised interpretations, guidance, or enforcement priorities,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could cause us or our Affiliates to change or curtail operations or product offerings.  Any determination of a failure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comply with applicable laws, rules, or regulations could expose us, our Affiliates, or our respective employees to civil liability,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criminal liability, or disciplinary or enforcement action, with penalties that could include the disgorgement of fees, fines,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sanctions, suspensions, termination of adviser status, or censure of individual employees or revocation or limitation of business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activities or registration, and may result in monetary losses that are not covered by insurance in adequate amounts or at all,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which could have an adverse impact on our stock price, financial condition, and results of operations.  Further, if we, any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or our respective employees or third-party service providers were to fail to comply with applicable laws, rules,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or be named as a subject of an investigation or other regulatory action, the public announcement and potential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publicity surrounding any such failure, investigation, or action could have an adverse effect on our or our Affiliates’ reputations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on our stock price and result in increased costs, even if we, our Affiliates, or our respective employees or third-party service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providers were found not to have violated such laws, rules, or regulations.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Recently implemented and proposed regulations globally have called for more stringent oversight of the financial services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in which we and our Affiliates operate.  In the U.S., the SEC has focused its enforcement, examination,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rulemaking activities on issues relevant to alternative asset management firms, including consistent application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methodology, disclosure, and conflicts of interest related to the valuation of private funds to increase transparency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accountability.  Further, in response to shifting enforcement priorities and rulemaking activities at the federal level, certain state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other governmental entities have maintained, and may continue to seek to maintain, existing, or implement potentially more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rigorous, regulatory requirements in response, which, coupled with legal challenges to a number of significant regulations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judicial decisions regarding administrative law, may create uncertainty or lead to divergent interpretations of law, or change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requirements applicable to our and our Affiliates’ businesses.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use of AI technologies to provide certain business processes, services, and products may also require compliance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additional U.S. and non-U.S. legal or regulatory frameworks which are not fully developed or tested, and which may subject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Affiliates to litigation and regulatory actions.  For example, the European Union (the “EU”) has enacted the Artificial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Intelligence Act, and various other jurisdictions have proposed or finalized laws and regulations that created, or have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potential to create, regulatory risk around the use of AI or could restrict or eliminate our and our Affiliates’ ability to use certain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AI tools.  These evolving laws and regulations could require changes in our and our Affiliates’ implementation of AI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technologies, increase compliance costs and the risk of non-compliance, and restrict or impede our respective abilities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 adopt, and deploy AI technologies efficiently and effectively.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and other regulatory developments could adversely affect our and our Affiliates’ businesses, increase compliance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operational costs, require that we or our Affiliates change or curtail operations or investment offerings, or impact our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access to capital and the market for our common stock.  Further, in recent years, regulators in the U.S., the UK,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other jurisdictions have expanded rules and devoted greater resources and attention to the enforcement of anti-bribery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anti-money laundering laws, and while we and our Affiliates have developed and implemented policies and procedures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designed to comply with these rules, such policies and procedures may not be effective in all instances to prevent violations.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and our Affiliates’ international operations are subject to foreign risks, including political, regulatory, economic, and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currency risks.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certain of our Affiliates conduct business outside the U.S., and a number of our Affiliates are based or have offices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outside the U.S. and, accordingly, are subject to risks inherent in doing business internationally.  These risks may include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difficulties in staffing and managing foreign operations, longer payment cycles, difficulties in collecting investment advisory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other fees receivable, different (and in some cases less stringent) legal, regulatory and accounting regimes, political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instability, exposure to fluctuations in currency exchange rates, expatriation controls, expropriation risks, and potential adverse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consequences.  For example, regulations in the EU pertaining to the integration of environmental, social, and governance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topics into, among other things, the organizational, risk, and governance arrangements of certain financial entities,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increased disclosure requirements with regard to such factors generally, may materially impact the investment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industry in member states that have adopted, or may in the future adopt, such legislation.  Conversely, opposition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environmental, social, and governance initiatives has gained momentum in the U.S., with several states and Congress having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proposed, enacted, or indicated an intent to pursue policies, legislation, or initiatives opposing such efforts, including engaging </w:t>
      </w:r>
    </w:p>
    <w:p>
      <w:pPr>
        <w:pStyle w:val="TextBody"/>
        <w:bidi w:val="0"/>
        <w:spacing w:lineRule="atLeast" w:line="200" w:before="0" w:after="0"/>
        <w:jc w:val="left"/>
        <w:rPr/>
      </w:pPr>
      <w:r>
        <w:rPr>
          <w:rFonts w:ascii="Times New Roman;serif" w:hAnsi="Times New Roman;serif"/>
          <w:b w:val="false"/>
          <w:i w:val="false"/>
          <w:caps w:val="false"/>
          <w:smallCaps w:val="false"/>
          <w:sz w:val="20"/>
        </w:rPr>
        <w:t>in related inquiries, investigations, and litigation.  The dynamic nature of environmental, social, and governance-related</w:t>
      </w:r>
      <w:r>
        <w:rPr>
          <w:caps w:val="false"/>
          <w:smallCaps w:val="false"/>
          <w:strike w:val="false"/>
          <w:dstrike w:val="false"/>
          <w:color w:val="0D0D0D"/>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0D0D0D"/>
          <w:sz w:val="20"/>
          <w:u w:val="none"/>
          <w:effect w:val="none"/>
        </w:rPr>
      </w:pPr>
      <w:r>
        <w:rPr>
          <w:rFonts w:ascii="Times New Roman;serif" w:hAnsi="Times New Roman;serif"/>
          <w:b w:val="false"/>
          <w:i w:val="false"/>
          <w:caps w:val="false"/>
          <w:smallCaps w:val="false"/>
          <w:strike w:val="false"/>
          <w:dstrike w:val="false"/>
          <w:color w:val="0D0D0D"/>
          <w:sz w:val="20"/>
          <w:u w:val="none"/>
          <w:effect w:val="none"/>
        </w:rPr>
        <w:t xml:space="preserve">regulations could impact our or our Affiliates’ businesses, increase regulatory and compliance costs, and adversely affect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color w:val="0D0D0D"/>
          <w:sz w:val="20"/>
          <w:u w:val="none"/>
          <w:effect w:val="none"/>
        </w:rPr>
      </w:pPr>
      <w:r>
        <w:rPr>
          <w:rFonts w:ascii="Times New Roman;serif" w:hAnsi="Times New Roman;serif"/>
          <w:b w:val="false"/>
          <w:i w:val="false"/>
          <w:caps w:val="false"/>
          <w:smallCaps w:val="false"/>
          <w:strike w:val="false"/>
          <w:dstrike w:val="false"/>
          <w:color w:val="0D0D0D"/>
          <w:sz w:val="20"/>
          <w:u w:val="none"/>
          <w:effect w:val="none"/>
        </w:rPr>
        <w:t xml:space="preserve">profitability, which effects could be exacerbated in the event of regulatory uncertainty or conflicting or inconsistent regulatory </w:t>
      </w:r>
    </w:p>
    <w:p>
      <w:pPr>
        <w:pStyle w:val="TextBody"/>
        <w:bidi w:val="0"/>
        <w:spacing w:lineRule="atLeast" w:line="200" w:before="0" w:after="0"/>
        <w:jc w:val="left"/>
        <w:rPr/>
      </w:pPr>
      <w:r>
        <w:rPr>
          <w:rFonts w:ascii="Times New Roman;serif" w:hAnsi="Times New Roman;serif"/>
          <w:b w:val="false"/>
          <w:i w:val="false"/>
          <w:caps w:val="false"/>
          <w:smallCaps w:val="false"/>
          <w:strike w:val="false"/>
          <w:dstrike w:val="false"/>
          <w:color w:val="0D0D0D"/>
          <w:sz w:val="20"/>
          <w:u w:val="none"/>
          <w:effect w:val="none"/>
        </w:rPr>
        <w:t>guidance related thereto, including in the U.S. and the UK, as applicable.</w:t>
      </w:r>
      <w:r>
        <w:rPr>
          <w:caps w:val="false"/>
          <w:smallCaps w:val="false"/>
        </w:rPr>
        <w:t xml:space="preserve">  </w:t>
      </w:r>
      <w:r>
        <w:rPr>
          <w:rFonts w:ascii="Times New Roman;serif" w:hAnsi="Times New Roman;serif"/>
          <w:b w:val="false"/>
          <w:i w:val="false"/>
          <w:caps w:val="false"/>
          <w:smallCaps w:val="false"/>
          <w:sz w:val="20"/>
        </w:rPr>
        <w:t xml:space="preserve">In addition, as a result of operating internationally,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Affiliates and our global capital distribution platform are subject to requirements under non-U.S. regulations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maintain minimum levels of net capital.  Such capital requirements may be increased from time to time with limited advance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notice, which may have the effect of limiting withdrawals of capital by us and the payment of distributions to us or, if there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were a significant change in the required capital or an extraordinary loss or charge against net capital at a particular Affiliate,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adversely impact such Affiliate’s ability to expand or maintain operations.  These or other risks related to our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international operations may have an adverse effect on our business, financial condition, and results of operations.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Changes in tax laws or exposure to additional tax liabilities could have an adverse impact on our business, financial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condition, 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are subject to income taxes as well as non-income based taxes in the U.S. and certain foreign jurisdictions,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are generally subject to taxes in the jurisdictions in which they operate.  Tax laws, regulations, and administrative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practices in these jurisdictions may be subject to significant change, with or without notice, and significant judgment is required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estimating and evaluating tax provisions and accruals.  Our and our Affiliates’ effective tax rates could be affected by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change in the mix of earnings with differing statutory tax rates, changes to our or their existing businesses, and changes in </w:t>
      </w:r>
    </w:p>
    <w:p>
      <w:pPr>
        <w:pStyle w:val="TextBody"/>
        <w:bidi w:val="0"/>
        <w:spacing w:lineRule="atLeast" w:line="200" w:before="0" w:after="0"/>
        <w:jc w:val="left"/>
        <w:rPr/>
      </w:pPr>
      <w:r>
        <w:rPr>
          <w:rFonts w:ascii="Times New Roman;serif" w:hAnsi="Times New Roman;serif"/>
          <w:b w:val="false"/>
          <w:i w:val="false"/>
          <w:caps w:val="false"/>
          <w:smallCaps w:val="false"/>
          <w:sz w:val="20"/>
        </w:rPr>
        <w:t>relevant tax, accounting or other laws,</w:t>
      </w:r>
      <w:r>
        <w:rPr>
          <w:caps w:val="false"/>
          <w:smallCaps w:val="false"/>
          <w:strike w:val="false"/>
          <w:dstrike w:val="false"/>
          <w:color w:val="008080"/>
          <w:u w:val="none"/>
          <w:effect w:val="none"/>
        </w:rPr>
        <w:t xml:space="preserve"> </w:t>
      </w:r>
      <w:r>
        <w:rPr>
          <w:rFonts w:ascii="Times New Roman;serif" w:hAnsi="Times New Roman;serif"/>
          <w:b w:val="false"/>
          <w:i w:val="false"/>
          <w:caps w:val="false"/>
          <w:smallCaps w:val="false"/>
          <w:sz w:val="20"/>
        </w:rPr>
        <w:t xml:space="preserve">regulations, administrative practices, and interpretations.  In the U.S., An Act to Provide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Reconciliation Pursuant to Title II of the H. Con. Res. 14 (the “Act”) was signed into law in July 2025, which included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modifications to federal tax law.  Although the Act is not expected to have a material impact on our net income and 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flows, any future tax reform proposals, if ultimately enacted into legislation, could materially impact our tax provision, deferred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assets, and tax liabilities, or impact decisions on how to return value to stockholders in the most efficient manner.  Further,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portion of our earnings is from outside of the U.S., and the foreign government agencies in jurisdictions in which we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do business continue to focus on the taxation of multinational companies, and could implement changes to their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The potential effects may vary depending on the specific provisions and rules implemented by each jurisdiction.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cannot predict future changes in the tax laws, regulations, administrative guidance, or judicial decisions to which we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are subject or that could apply to our and our Affiliates’ businesses, and any changes to federal, state or foreign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laws, regulations, accounting standards or administrative practices, or the release of additional guidance, interpretations or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could impact our estimated effective tax rate and overall tax expense, as well as our earnings estimates, and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in adjustments to our treatment of deferred taxes, including the realization or value thereof, or in unanticipated additional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tax liabilities, or cause us or our Affiliates to change or curtail product offerings, any of which could have an adverse effect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business, financial condition, and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we and our Affiliates may be subject to tax examinations and inquiries by certain federal, state, and foreign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authorities.  We regularly assess the likely outcomes of examinations that we are subject to, in order to determine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appropriateness of our tax provision; however, tax authorities may disagree with certain positions we have taken or may take,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may assess additional taxes and/or penalties and interest.  There can be no assurance that we will accurately predict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outcomes of any examinations and the actual outcomes could have an adverse impact on our financial condition and results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We or our Affiliates may be involved in legal proceedings and regulatory matters from time to time, and we may be held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responsible for liabilities incurred by certain of our Affiliates.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operating agreements with our Affiliates provide for governance structures that give Affiliate management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authority to manage and operate their businesses on a day-to-day basis, including investment management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marketing, product development, client relationships, employee matters, compensation programs, and compliance activities.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 consequence, our financial condition and results of operations may be adversely affected by problems stemming from the day-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to-day operations of our Affiliates that we are not involved in, and where weaknesses or failures in internal processes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systems, legal or regulatory matters, or other operational challenges could lead to a disruption or cessation of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operations, liability to their clients, exposure to claims or disciplinary action, or reputational harm.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of our Affiliates are limited liability companies or limited partnerships (or equivalent non-U.S. forms) of which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entities controlled by us, are the managing member or general partner (or equivalent).  Consequently, to the extent that any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Affiliates incur liabilities or expenses that exceed their ability to pay for them, we may be directly or indirectly liable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their payment.  Similarly, an Affiliate’s payment of distributions to us may be subject to claims by potential creditors, and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 may default on distributions that are payable to us.  In addition, with respect to each of these Affiliates, creditors,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regulators, or other counterparties or claimants may seek to hold us directly or indirectly liable in certain circumstances 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 person for the acts of the Affiliate or its employees.  Such claims, even if ultimately unsuccessful, could result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costs, diversion of management attention, reputational harm, or adverse financial consequences.  Further, we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conduct compliance, governance, and operational activities, including with respect to distribution, sales, and marketing, through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U.S. wealth and global distribution platforms to extend the reach of our Affiliates, and any liability arising in connection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these activities, whether as a result of our own actions or the actions of our participating Affiliates or third-party service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providers, could result in direct liability to us.  Accordingly, we and our Affiliates may face various claims, litigation,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complaints from time to time, and we cannot predict the eventual outcome of such matters, some of which may be resolved in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manner unfavorable to us or our Affiliates, or whether any such matters could become material to a particular Affiliate or us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reporting period.  See “Legal Proceedings” in Item 3.  While we and our Affiliates maintain errors and omissions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liability insurance in amounts believed to be adequate to cover potential liabilities, we cannot be certain that we 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will not have claims or related expenses that exceed the limits of available insurance coverage, that the insurers will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remain solvent and will meet their obligations to provide coverage, or that insurance coverage will continue to be available to 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our Affiliates with sufficient limits and at a reasonable cost.  Any legal proceedings or regulatory matters that we 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are subject to could, whether with or without merit, be time consuming and expensive to defend and could divert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attention and resources, and could result in judgments, findings, settlements, or allegations of wrongdoing that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adversely affect our or their reputation, current and future business relationships, and our financial condition and results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operations.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Our or our Affiliates’ controls and procedures and risk management policies may be inadequate, fail or be circumvented,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and operational risk could adversely affect our or our Affiliates’ reputation and financial position.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our Affiliates have adopted various controls, procedures, policies, and systems to monitor and manage risk in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their businesses.  While we currently believe that our and our Affiliates’ operational controls, including controls over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compliance and over financial reporting, are effective, we cannot provide assurance that those controls, procedures, policies,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systems will always be adequate to identify and manage the internal and external risks in our and our Affiliates’ various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businesses.  Furthermore, we or our Affiliates may have errors in business processes or fail to implement proper procedures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operating our respective businesses, which may expose us or our Affiliates to risk of financial loss or failure to comply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requirements.  Additionally, although we and our Affiliates have systems and practices in place to monitor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 third-party service providers, such third parties are subject to similar risks.  For example, as we and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increasingly rely on outsourced support services, including for certain fund administration and compliance functions,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disruptions or operational difficulties by such service providers (including to their information technology infrastructure),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or our Affiliates’ inability to make alternative arrangements in a timely manner, could result in significant disruption to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 business operations.  We and our Affiliates, as well as our respective third-party service providers, are also subject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risk that employees or contractors, or other third parties, may deliberately seek to circumvent established controls to commit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fraud or act in ways that are inconsistent with our or their controls, policies, and procedures, and which may be harder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monitor in remote work environments.  The financial and reputational impact of control failures can be significant.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our and our Affiliates’ businesses and the markets in which we and our Affiliates operate are continuously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evolving.  For example, the use of AI technologies by us, our Affiliates, or our respective third-party service providers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in new and expanded risks, particularly as the use of AI applications increases in prevalence and scope.  Failure by us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effectively manage the development and use of AI, our competitors’ development or use of AI, and an evolving AI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environment could have an adverse effect on our growth prospects, reputation, or business and results of operations.  If our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risk frameworks are ineffective, either because of a failure to keep pace with changes in the financial markets,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technological advancements, or regulatory requirements, our or our Affiliates’ businesses, counterparties, clients, or respective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service providers, or for other reasons, we or our Affiliates could incur losses, suffer reputational damage, or be out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compliance with applicable regulatory or contractual mandates or expectations.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 xml:space="preserve">Failure to maintain and properly safeguard an adequate technology infrastructure may limit our or our Affiliates’ growth, </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result in losses or disrupt our or our Affiliates’ businesses.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and our Affiliates’ businesses are reliant upon financial, accounting, and technology systems and networks to process,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transmit, and store information, including sensitive client and proprietary information, and to conduct many business activities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transactions with clients, advisers, regulators, vendors, and other third parties.  The failure to implement, maintain,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safeguard an infrastructure commensurate with the size and scope of our and our Affiliates’ businesses could impede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productivity and growth, which could adversely impact our financial condition and results of operations.  Further, we and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rely on third parties for certain aspects of our respective businesses, including financial intermediaries, providers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technology infrastructure, and other service providers such as broker-dealers, custodians, administrators and other agents,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well as accounting, legal, and other professional advisors, and these parties are susceptible to similar risks, which risks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heightened by the concentration of certain key services such as cloud storage and e-mail services with certain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service providers, which have experienced outages.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computer systems, software, internal and cloud-based networks, and mobile devices are vulnerable to cyber-attacks,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data privacy or security breaches, phishing schemes and related fraud attempts, ransomware, social engineering, unauthorized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access, theft, misuse, computer viruses, or other malicious code and other events that could have a security impact, and bad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actors may target us and our Affiliates because they believe we hold personal, confidential, and other price sensitive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about our clients, and existing and potential investments, as applicable.  Any such cyber-attacks could have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material impact on our financial conditions or results of operations.  Further, third parties on whom we and our Affiliates rely,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those providing cloud-based network services, may have similar vulnerabilities and may lack the necessary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infrastructure or resources, or may otherwise fail, to adequately protect against or respond to any cyber-attacks, data breaches,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or other incidents.  If any such events occur, it could jeopardize confidential, proprietary, or other sensitive information of ours,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Affiliates and our respective clients, employees or counterparties that may be stored in, or transmitted through, internal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third-party computer systems, networks, and mobile devices, the volume of which has increased rapidly in recent years,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could otherwise cause interruptions or malfunctions in our and our Affiliates’ operations or those of our respective clients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counterparties, or in the operations of third parties on whom we and our Affiliates rely.  The rapid evolution and increased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availability of AI has intensified cybersecurity risk, and given rise to additional vulnerabilities and potential entry points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cyber threats, providing threat actors with additional tools to automate attacks, evade detection, generate sophisticated phishing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emails, or impersonate legitimate businesses or individuals.  Despite efforts to ensure the integrity of systems and networks, it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possible that we, our Affiliates, or our respective third-party service providers may not be able to anticipate or to implement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effective preventive measures against all threats, especially because the techniques used change frequently and can originate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a wide variety of sources.  Further, human errors may occur from time to time at our third-party service providers’ staff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among our or our Affiliates’ employees, which can lead to or exacerbate security vulnerabilities or attacks.  The increasing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frequency, scope, and sophistication of these cyber threats, and involvement of large criminal organizations that share tactics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strategies, including in foreign jurisdictions in which we and our Affiliates operate, along with the continued reliance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work-from-home environments, personal mobile and computing technologies, and third-party web conferencing services, have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increased exposures to these security-related risks.  As a result, we or our Affiliates could experience disruption, significant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losses, increased costs, reputational harm, regulatory actions, or legal liability, any of which could have an adverse effect on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condition and results of operations.  We or our Affiliates may be required to spend significant additional resources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modify protective measures or to investigate and remediate vulnerabilities or other exposures, and may be subject to litigation,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regulatory investigations, and potential fines, and financial losses that are either not insured against fully or not fully covered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any insurance that we or our Affiliates maintain.  Additionally, given our business model of providing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autonomy in managing their businesses, we do not control, and may have limited involvement in, the design, oversight,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maintenance of their technology systems and networks, as well as in the identification of or response to any cyber-attacks,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data breaches, or other incidents.  See “Cybersecurity” in Item 1C.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government and regulatory oversight of data privacy in particular has become a priority for regulators around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world, including as examples, through the EU’s General Data Protection Regulation and the California Privacy Rights Act,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resulting in heightened data security and handling requirements, increased enforcement risk and fines, increased compliance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costs, and expanded incident response, reporting, and notification obligations.  More recently, the SEC has implemented new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rules related to cybersecurity risk management for public companies and indicated that the implementation and testing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cybersecurity procedures and controls is a continued examination priority.  Recent well-publicized security breaches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 outages at other companies and third-party service providers have exemplified security-related vulnerabilities, and may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lead to further government and regulatory scrutiny and heightened security requirements both in the U.S. and in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jurisdictions in which we and our Affiliates operate.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Item 1B.Unresolved Staff Comments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Item 1C.</w:t>
      </w:r>
      <w:r>
        <w:rPr>
          <w:rFonts w:ascii="Times New Roman;serif" w:hAnsi="Times New Roman;serif"/>
          <w:b/>
          <w:i w:val="false"/>
          <w:caps w:val="false"/>
          <w:smallCaps w:val="false"/>
          <w:strike w:val="false"/>
          <w:dstrike w:val="false"/>
          <w:sz w:val="20"/>
          <w:u w:val="none"/>
          <w:effect w:val="none"/>
        </w:rPr>
        <w:t>Cybersecurity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Risk Management and Strategy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Our cybersecurity risk management program is integrated into our overall risk management framework.</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 regularly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 risks from cybersecurity threats, monitor our information systems for potential vulnerabilities, and test those systems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our cybersecurity policies, processes, and practices.  To protect our information systems from cybersecurity threats,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use various security tools that help us identify, escalate, investigate, resolve, and recover from security incidents in a timely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manner.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recognize the importance of protecting information assets such as the personally identifiable information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employees, and proprietary business information regarding our Affiliates and their clients, and have adopted policies,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oversight, accountability structures, and technology processes designed to safeguard this information.  All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employees are required to attest annually to our information security policies and participate in regular security awareness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training to protect their information and the AMG data and systems to which they have access.  These trainings also instruct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employees on how to report any potential privacy or data security issues.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information security organization comprises internal and external resources designed to identify, protect, detect,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mitigate, resolve, and recover from various threats and attacks by malicious actors.  We leverage 24x7x365 monitoring tools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services to address the confidentiality, integrity, and availability of AMG assets and data.  Regular internal and third-party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reviews are performed on our processes and technologies to validate the effectiveness of our privacy and data security controls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safeguards.  We monitor industry best practices and developments in data privacy and security and have increased scrutiny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third-party service providers with access to sensitive AMG data, including through security risk assessments at the time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initial contract, periodically as part of our third-party risk management process, and upon detection of an increase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vendor’s risk profile.  In addition, we require key providers to meet appropriate security requirements and controls, and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investigate security incidents that have impacted our third-party providers, as appropriate.  We also have our own fully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documented proprietary security incident response plan, with defined roles and responsibilities that address notification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obligations and incident response procedures in the event of a data security breach.  We are dedicated to business continuity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resiliency, and have documented strategies, policies, and procedures in place designed to protect employee, business,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Affiliate client data in the event of an emergency or natural disaster.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Although we provide our Affiliates with operational autonomy in managing their businesses and may have limited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involvement in the design, oversight, and maintenance of their respective technology systems and networks, we offer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support to Affiliates through our information security program, including with respect to conducting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program assessments and assisting, as appropriate and practicable, in their identification of, and response to, an actual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suspected cybersecurity incident.  Additionally, prior to any investment in a new Affiliate, we conduct a diligence review of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information security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work with third-party service providers to proactively assess our information security program and provide us with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industry view of the cyberthreat landscape, in addition to monitoring and supporting our control environment and breach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notification and response processes.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the date of this Annual Report on Form 10-K, cybersecurity threats have not materially affected and we believe 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 reasonably likely to materially affect AMG, including our business strategy, results of operations, or financial condition.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Refer to the risk factor captioned “Failure to maintain and properly safeguard an adequate technology infrastructure may limit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or our Affiliates’ growth, result in losses or disrupt our or our Affiliates’ businesses” in Part I, Item 1A. “Risk Factors”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more information regarding cybersecurity risks and potential related impacts on AMG.</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Governance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have a formal information security program, designed to develop and maintain privacy and data security practices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protect AMG assets and sensitive third-party information, including personal and Affiliate information.  This program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governed by a committee comprising members of senior management, including our Chief Information Officer (“CIO”), which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meets regularly and reports to the Board of Directors at least annually (the “Information Security Governance Committee”).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Members of the Information Security Governance Committee oversee communications with the Board of Directors regarding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material cybersecurity incidents and provide the Board with a summary of risks from current cybersecurity threats on a regular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basis, as well as updates on management’s information security program oversight and maintenance activities, and any material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changes to AMG’s information security practices and procedures.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Board of Directors is also regularly provided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educational sessions, including perspectives from external advisors that are invited to present on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cybersecurity topics.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take a risk-based approach to cybersecurity and have implemented policies throughout our operations that are designed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address cybersecurity threats and our response to actual or suspected incidents.  In particular, the Information 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Governance Committee is responsible for the ongoing identification and assessment of reasonably foreseeable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threats and based on these assessments, evaluating and overseeing the implementation of safeguards for limiting such risks,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employee training and compliance, and detection and prevention mechanisms.  If a cybersecurity incident occurs,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Information Security Governance Committee will assemble an incident response team responsible for the identification,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remediation, and post-incident review of such incident, engage outside advisors and notify third parties as appropriate,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assess the materiality of the nature, scope, and timing of a given incident and whether public disclosure is required.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CIO, in coordination with the Information Security Governance Committee, is responsible for leading the assessment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management of cybersecurity risks.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current CIO has over 25 years of experience in information security, including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serving as our CIO since 2016, and holds a B.A. in Business with a focus in Computer Science.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CIO reports to the Board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Directors as part of the Information Security Governance Committee’s updates discussed above and regularly communicates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the other members of the Information Security Governance Committee and senior management regarding cybersecurity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pPr>
      <w:r>
        <w:rPr>
          <w:rFonts w:ascii="Times New Roman;serif" w:hAnsi="Times New Roman;serif"/>
          <w:b/>
          <w:i w:val="false"/>
          <w:caps w:val="false"/>
          <w:smallCaps w:val="false"/>
          <w:sz w:val="20"/>
        </w:rPr>
        <w:t>Item 2.Properties</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 our operations around the world using a combination of leased and owned facilities.  While we believe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have suitable property resources currently, we will continue to evaluate our property needs and will adjust these resources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necessary.  Our Affiliates also typically lease office space in the city or cities in which they conduct business, as appropriate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their respective business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Item 3.Legal Proceedings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Governmental and regulatory authorities in the U.S. and other jurisdictions in which we and our Affiliates operate regularly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make inquiries and administer examinations with respect to our and our Affiliates’ compliance with applicable laws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regulations, and from time to time, we and our Affiliates may be parties to various claims, lawsuits, complaints, regulatory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investigations, and other proceedings in the ordinary course of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Currently, there are no such claims, lawsuits, complaints, regulatory investigations, or other proceedings against us 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that, in our opinion, would have a material adverse effect on our financial position, liquidity, or results of operations.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However, there is no assurance as to whether or not any such matters could arise or have a material effect on our or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Affiliates’ financial position, liquidity, or results of operations in any future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4.Mine Safety Disclosures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Item 5.</w:t>
      </w:r>
      <w:r>
        <w:rPr>
          <w:rFonts w:ascii="Times New Roman;serif" w:hAnsi="Times New Roman;serif"/>
          <w:b/>
          <w:i w:val="false"/>
          <w:caps w:val="false"/>
          <w:smallCaps w:val="false"/>
          <w:strike w:val="false"/>
          <w:dstrike w:val="false"/>
          <w:sz w:val="20"/>
          <w:u w:val="none"/>
          <w:effect w:val="none"/>
        </w:rPr>
        <w:t>Market</w:t>
      </w:r>
      <w:r>
        <w:rPr>
          <w:caps w:val="false"/>
          <w:smallCaps w:val="false"/>
          <w:sz w:val="24"/>
        </w:rPr>
        <w:t xml:space="preserve"> </w:t>
      </w:r>
      <w:r>
        <w:rPr>
          <w:rFonts w:ascii="Times New Roman;serif" w:hAnsi="Times New Roman;serif"/>
          <w:b/>
          <w:i w:val="false"/>
          <w:caps w:val="false"/>
          <w:smallCaps w:val="false"/>
          <w:sz w:val="20"/>
        </w:rPr>
        <w:t xml:space="preserve">for Registrant’s Common Equity, Related Stockholder Matters and Issuer Purchases of Equity </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common stock is traded on the New York Stock Exchange (symbol: AMG).  As of </w:t>
      </w:r>
      <w:r>
        <w:rPr>
          <w:rFonts w:ascii="Times New Roman;serif" w:hAnsi="Times New Roman;serif"/>
          <w:b w:val="false"/>
          <w:i w:val="false"/>
          <w:caps w:val="false"/>
          <w:smallCaps w:val="false"/>
          <w:strike w:val="false"/>
          <w:dstrike w:val="false"/>
          <w:sz w:val="20"/>
          <w:u w:val="none"/>
          <w:effect w:val="none"/>
        </w:rPr>
        <w:t>February 12, 2026</w:t>
      </w:r>
      <w:r>
        <w:rPr>
          <w:rFonts w:ascii="Times New Roman;serif" w:hAnsi="Times New Roman;serif"/>
          <w:b w:val="false"/>
          <w:i w:val="false"/>
          <w:caps w:val="false"/>
          <w:smallCaps w:val="false"/>
          <w:sz w:val="20"/>
        </w:rPr>
        <w:t xml:space="preserve">, there were </w:t>
      </w:r>
      <w:r>
        <w:rPr>
          <w:rFonts w:ascii="Times New Roman;serif" w:hAnsi="Times New Roman;serif"/>
          <w:b w:val="false"/>
          <w:i w:val="false"/>
          <w:caps w:val="false"/>
          <w:smallCaps w:val="false"/>
          <w:strike w:val="false"/>
          <w:dstrike w:val="false"/>
          <w:sz w:val="20"/>
          <w:u w:val="none"/>
          <w:effect w:val="none"/>
        </w:rPr>
        <w:t>24</w:t>
      </w:r>
      <w:r>
        <w:rPr>
          <w:caps w:val="false"/>
          <w:smallCaps w:val="false"/>
          <w:sz w:val="24"/>
        </w:rPr>
        <w:t xml:space="preserve"> </w:t>
      </w:r>
    </w:p>
    <w:p>
      <w:pPr>
        <w:pStyle w:val="TextBody"/>
        <w:bidi w:val="0"/>
        <w:spacing w:lineRule="atLeast" w:line="220" w:before="0" w:after="0"/>
        <w:jc w:val="left"/>
        <w:rPr/>
      </w:pPr>
      <w:r>
        <w:rPr>
          <w:rFonts w:ascii="Times New Roman;serif" w:hAnsi="Times New Roman;serif"/>
          <w:b w:val="false"/>
          <w:i w:val="false"/>
          <w:caps w:val="false"/>
          <w:smallCaps w:val="false"/>
          <w:sz w:val="20"/>
        </w:rPr>
        <w:t>stockholders of record</w:t>
      </w:r>
      <w:r>
        <w:rPr>
          <w:rFonts w:ascii="Times New Roman;serif" w:hAnsi="Times New Roman;serif"/>
          <w:b w:val="false"/>
          <w:i w:val="false"/>
          <w:caps w:val="false"/>
          <w:smallCaps w:val="false"/>
          <w:sz w:val="22"/>
        </w:rPr>
        <w:t xml:space="preserve">, </w:t>
      </w:r>
      <w:r>
        <w:rPr>
          <w:rFonts w:ascii="Times New Roman;serif" w:hAnsi="Times New Roman;serif"/>
          <w:b w:val="false"/>
          <w:i w:val="false"/>
          <w:caps w:val="false"/>
          <w:smallCaps w:val="false"/>
          <w:sz w:val="20"/>
        </w:rPr>
        <w:t xml:space="preserve">including banks, brokers, and other financial institutions holding shares in omnibus accounts for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customers (in total representing substantially all of the beneficial holders of our common stock).</w:t>
      </w:r>
    </w:p>
    <w:p>
      <w:pPr>
        <w:pStyle w:val="TextBody"/>
        <w:bidi w:val="0"/>
        <w:spacing w:lineRule="atLeast" w:line="200" w:before="0" w:after="0"/>
        <w:jc w:val="left"/>
        <w:rPr>
          <w:sz w:val="24"/>
        </w:rPr>
      </w:pPr>
      <w:r>
        <w:rPr>
          <w:rFonts w:ascii="Times New Roman;serif" w:hAnsi="Times New Roman;serif"/>
          <w:b/>
          <w:i w:val="false"/>
          <w:caps w:val="false"/>
          <w:smallCaps w:val="false"/>
          <w:strike w:val="false"/>
          <w:dstrike w:val="false"/>
          <w:sz w:val="20"/>
          <w:u w:val="none"/>
          <w:effect w:val="none"/>
        </w:rPr>
        <w:t>Iss</w:t>
      </w:r>
      <w:r>
        <w:rPr>
          <w:rFonts w:ascii="Times New Roman;serif" w:hAnsi="Times New Roman;serif"/>
          <w:b/>
          <w:i w:val="false"/>
          <w:caps w:val="false"/>
          <w:smallCaps w:val="false"/>
          <w:sz w:val="20"/>
        </w:rPr>
        <w:t>uer Purchases of Equity Securities</w:t>
      </w:r>
    </w:p>
    <w:tbl>
      <w:tblPr>
        <w:tblW w:w="10205" w:type="dxa"/>
        <w:jc w:val="left"/>
        <w:tblInd w:w="0" w:type="dxa"/>
        <w:tblLayout w:type="fixed"/>
        <w:tblCellMar>
          <w:top w:w="28" w:type="dxa"/>
          <w:left w:w="28" w:type="dxa"/>
          <w:bottom w:w="28" w:type="dxa"/>
          <w:right w:w="28" w:type="dxa"/>
        </w:tblCellMar>
      </w:tblPr>
      <w:tblGrid>
        <w:gridCol w:w="2647"/>
        <w:gridCol w:w="109"/>
        <w:gridCol w:w="1161"/>
        <w:gridCol w:w="109"/>
        <w:gridCol w:w="1184"/>
        <w:gridCol w:w="109"/>
        <w:gridCol w:w="1594"/>
        <w:gridCol w:w="109"/>
        <w:gridCol w:w="1184"/>
        <w:gridCol w:w="109"/>
        <w:gridCol w:w="1890"/>
      </w:tblGrid>
      <w:tr>
        <w:trPr/>
        <w:tc>
          <w:tcPr>
            <w:tcW w:w="2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r>
      <w:tr>
        <w:trPr/>
        <w:tc>
          <w:tcPr>
            <w:tcW w:w="264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Total Number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of Shares </w:t>
            </w:r>
          </w:p>
          <w:p>
            <w:pPr>
              <w:pStyle w:val="TableContents"/>
              <w:bidi w:val="0"/>
              <w:spacing w:lineRule="atLeast" w:line="160" w:before="0" w:after="0"/>
              <w:jc w:val="left"/>
              <w:rPr/>
            </w:pPr>
            <w:r>
              <w:rPr>
                <w:rFonts w:ascii="Times New Roman;serif" w:hAnsi="Times New Roman;serif"/>
                <w:b/>
                <w:i w:val="false"/>
                <w:caps w:val="false"/>
                <w:smallCaps w:val="false"/>
                <w:sz w:val="16"/>
              </w:rPr>
              <w:t>Purchased</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Average Price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59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Number of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Shares Purchased as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Part of Publicly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Announced Plans or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Programs</w:t>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Average Price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 Per Share</w:t>
            </w:r>
          </w:p>
        </w:tc>
        <w:tc>
          <w:tcPr>
            <w:tcW w:w="109" w:type="dxa"/>
            <w:tcBorders/>
            <w:vAlign w:val="center"/>
          </w:tcPr>
          <w:p>
            <w:pPr>
              <w:pStyle w:val="TableContents"/>
              <w:bidi w:val="0"/>
              <w:spacing w:before="0" w:after="283"/>
              <w:jc w:val="left"/>
              <w:rPr>
                <w:sz w:val="4"/>
                <w:szCs w:val="4"/>
              </w:rPr>
            </w:pPr>
            <w:r>
              <w:rPr>
                <w:sz w:val="4"/>
                <w:szCs w:val="4"/>
              </w:rPr>
            </w:r>
          </w:p>
        </w:tc>
        <w:tc>
          <w:tcPr>
            <w:tcW w:w="18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Maximum Number of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Shares that May Yet Be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Purchased Under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Outstanding Plans or </w:t>
            </w:r>
          </w:p>
          <w:p>
            <w:pPr>
              <w:pStyle w:val="TableContents"/>
              <w:bidi w:val="0"/>
              <w:spacing w:lineRule="atLeast" w:line="160" w:before="0" w:after="0"/>
              <w:jc w:val="left"/>
              <w:rPr/>
            </w:pPr>
            <w:r>
              <w:rPr>
                <w:rFonts w:ascii="Times New Roman;serif" w:hAnsi="Times New Roman;serif"/>
                <w:b/>
                <w:i w:val="false"/>
                <w:caps w:val="false"/>
                <w:smallCaps w:val="false"/>
                <w:sz w:val="16"/>
              </w:rPr>
              <w:t>Programs</w:t>
            </w:r>
            <w:r>
              <w:rPr>
                <w:rFonts w:ascii="Times New Roman;serif" w:hAnsi="Times New Roman;serif"/>
                <w:b/>
                <w:i w:val="false"/>
                <w:caps w:val="false"/>
                <w:smallCaps w:val="false"/>
                <w:sz w:val="10"/>
              </w:rPr>
              <w:t>(2)</w:t>
            </w:r>
          </w:p>
        </w:tc>
      </w:tr>
      <w:tr>
        <w:trPr/>
        <w:tc>
          <w:tcPr>
            <w:tcW w:w="264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October 1-31,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200,499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3,150,971</w:t>
            </w:r>
          </w:p>
        </w:tc>
      </w:tr>
      <w:tr>
        <w:trPr/>
        <w:tc>
          <w:tcPr>
            <w:tcW w:w="2647"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November 1-30,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790,725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790,725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257.88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2,360,246</w:t>
            </w:r>
          </w:p>
        </w:tc>
      </w:tr>
      <w:tr>
        <w:trPr/>
        <w:tc>
          <w:tcPr>
            <w:tcW w:w="2647"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December 1-31,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357,293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357,293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89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2,002,953</w:t>
            </w:r>
          </w:p>
        </w:tc>
      </w:tr>
      <w:tr>
        <w:trPr/>
        <w:tc>
          <w:tcPr>
            <w:tcW w:w="2647"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1,348,517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1,348,517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$259.54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890"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trike w:val="false"/>
          <w:dstrike w:val="false"/>
          <w:sz w:val="20"/>
          <w:u w:val="none"/>
          <w:effect w:val="none"/>
        </w:rPr>
        <w:t xml:space="preserve">Includes shares surrendered to the Company to satisfy tax withholding and/or option exercise price obligations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connection with certain stock swap and option exercise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transactions, if any.</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trike w:val="false"/>
          <w:dstrike w:val="false"/>
          <w:sz w:val="20"/>
          <w:u w:val="none"/>
          <w:effect w:val="none"/>
        </w:rPr>
        <w:t>Our Board of Directors authorized share repurchase programs in July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January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repurchase up to 5.4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our common stock, respectively, and these authorizations have no expiry.  Purchases may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 made from time to time, at management’s discretion, in the open market or in privately negotiated transactions,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including through the use of trading plans, as well as pursuant to accelerated share repurchase programs or other share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repurchase strategies that may include derivative financial instruments.  As of the January 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2026 authorization, there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were a total of 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available for repurchase under our share repurchase programs.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years ended December 31, 2023, 2024, and 2025, we repurchased 3.0 million, 4.3 million, and 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our common stock at an average price per share of $132.99, $162.65, and $212.92,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Performance Graph</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peer group comprises AllianceBernstein Holding L.P., Artisan Partners Asset Management Inc., The Carlyle Group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 Federated Hermes, Inc., Franklin Resources, Inc., Invesco Ltd., Janus Henderson Group plc, Lazard, Inc., StepStone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Group Inc., TPG Inc., T. Rowe Price Group, Inc., and Victory Capital Holdings, Inc.  Prior to 2025, our peer group also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Blue Owl Capital Inc. and Virtus Investment Partners, Inc., and did not include StepStone Group Inc. and T. Rowe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Price Group, Inc.</w:t>
      </w:r>
      <w:r>
        <w:rPr>
          <w:caps w:val="false"/>
          <w:smallCaps w:val="false"/>
          <w:sz w:val="24"/>
        </w:rPr>
        <w:t xml:space="preserve">  </w:t>
      </w:r>
      <w:r>
        <w:rPr>
          <w:rFonts w:ascii="Times New Roman;serif" w:hAnsi="Times New Roman;serif"/>
          <w:b w:val="false"/>
          <w:i w:val="false"/>
          <w:caps w:val="false"/>
          <w:smallCaps w:val="false"/>
          <w:sz w:val="20"/>
        </w:rPr>
        <w:t>I</w:t>
      </w:r>
      <w:r>
        <w:rPr>
          <w:rFonts w:ascii="Times New Roman;serif" w:hAnsi="Times New Roman;serif"/>
          <w:b w:val="false"/>
          <w:i w:val="false"/>
          <w:caps w:val="false"/>
          <w:smallCaps w:val="false"/>
          <w:strike w:val="false"/>
          <w:dstrike w:val="false"/>
          <w:sz w:val="20"/>
          <w:u w:val="none"/>
          <w:effect w:val="none"/>
        </w:rPr>
        <w:t xml:space="preserve">n keeping with its regular review and evaluation of the peer group, the Compensation Committee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Board of Directors further refined our peer group in 2025 to reflect our Company’s growth, overall changes in the asset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management industry, and the business models, size, and scope of our competitors.</w:t>
      </w:r>
      <w:r>
        <w:rPr>
          <w:caps w:val="false"/>
          <w:smallCaps w:val="false"/>
          <w:sz w:val="24"/>
        </w:rPr>
        <w:t xml:space="preserve">  </w:t>
      </w:r>
      <w:r>
        <w:rPr>
          <w:rFonts w:ascii="Times New Roman;serif" w:hAnsi="Times New Roman;serif"/>
          <w:b w:val="false"/>
          <w:i w:val="false"/>
          <w:caps w:val="false"/>
          <w:smallCaps w:val="false"/>
          <w:sz w:val="20"/>
        </w:rPr>
        <w:t xml:space="preserve">The following graph compares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cumulative stockholder return on our common stock from </w:t>
      </w:r>
      <w:r>
        <w:rPr>
          <w:rFonts w:ascii="Times New Roman;serif" w:hAnsi="Times New Roman;serif"/>
          <w:b w:val="false"/>
          <w:i w:val="false"/>
          <w:caps w:val="false"/>
          <w:smallCaps w:val="false"/>
          <w:strike w:val="false"/>
          <w:dstrike w:val="false"/>
          <w:sz w:val="20"/>
          <w:u w:val="none"/>
          <w:effect w:val="none"/>
        </w:rPr>
        <w:t>December 31, 2020</w:t>
      </w:r>
      <w:r>
        <w:rPr>
          <w:caps w:val="false"/>
          <w:smallCaps w:val="false"/>
          <w:sz w:val="24"/>
        </w:rPr>
        <w:t xml:space="preserve"> </w:t>
      </w:r>
      <w:r>
        <w:rPr>
          <w:rFonts w:ascii="Times New Roman;serif" w:hAnsi="Times New Roman;serif"/>
          <w:b w:val="false"/>
          <w:i w:val="false"/>
          <w:caps w:val="false"/>
          <w:smallCaps w:val="false"/>
          <w:sz w:val="20"/>
        </w:rPr>
        <w:t xml:space="preserve">through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with the cumulative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total return, during the same period, on the Standard &amp; Poor’s MidCap 400 Index, our prior peer group, and our current peer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group.  The comparison below assumes the investment of $100 on </w:t>
      </w:r>
      <w:r>
        <w:rPr>
          <w:rFonts w:ascii="Times New Roman;serif" w:hAnsi="Times New Roman;serif"/>
          <w:b w:val="false"/>
          <w:i w:val="false"/>
          <w:caps w:val="false"/>
          <w:smallCaps w:val="false"/>
          <w:strike w:val="false"/>
          <w:dstrike w:val="false"/>
          <w:sz w:val="20"/>
          <w:u w:val="none"/>
          <w:effect w:val="none"/>
        </w:rPr>
        <w:t>December 31, 2020</w:t>
      </w:r>
      <w:r>
        <w:rPr>
          <w:caps w:val="false"/>
          <w:smallCaps w:val="false"/>
          <w:sz w:val="24"/>
        </w:rPr>
        <w:t xml:space="preserve"> </w:t>
      </w:r>
      <w:r>
        <w:rPr>
          <w:rFonts w:ascii="Times New Roman;serif" w:hAnsi="Times New Roman;serif"/>
          <w:b w:val="false"/>
          <w:i w:val="false"/>
          <w:caps w:val="false"/>
          <w:smallCaps w:val="false"/>
          <w:sz w:val="20"/>
        </w:rPr>
        <w:t xml:space="preserve">in our common stock and each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comparison indices and, in each case, assumes reinvestment of all dividends.</w:t>
      </w:r>
    </w:p>
    <w:p>
      <w:pPr>
        <w:pStyle w:val="TextBody"/>
        <w:bidi w:val="0"/>
        <w:spacing w:before="0" w:after="0"/>
        <w:jc w:val="left"/>
        <w:rPr/>
      </w:pPr>
      <w:r>
        <w:rPr/>
        <w:drawing>
          <wp:inline distT="0" distB="0" distL="0" distR="0">
            <wp:extent cx="6515100" cy="547624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15100" cy="5476240"/>
                    </a:xfrm>
                    <a:prstGeom prst="rect">
                      <a:avLst/>
                    </a:prstGeom>
                  </pic:spPr>
                </pic:pic>
              </a:graphicData>
            </a:graphic>
          </wp:inline>
        </w:drawing>
      </w:r>
      <w:bookmarkStart w:id="3" w:name="i-2"/>
      <w:bookmarkEnd w:id="3"/>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6.[Reserved]</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The following executive overview, which summarizes the significant trends affecting our results of operations and financial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condition, as well as the remainder of this Management’s Discussion and Analysis of Financial Condition and Results of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Operations of Affiliated Managers Group, Inc. and its subsidiaries, should be read in conjunction with the “Forward-Looking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Statements” section set forth in Part I, the “Risk Factors” section set forth in Item 1A of Part I and with our Consolidated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Financial Statements and the notes thereto contained elsewhere in this Annual Report on Form 10-K, and in any more recent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filings with the SEC.</w:t>
      </w:r>
    </w:p>
    <w:p>
      <w:pPr>
        <w:pStyle w:val="TextBody"/>
        <w:bidi w:val="0"/>
        <w:spacing w:lineRule="atLeast" w:line="200" w:before="0" w:after="0"/>
        <w:jc w:val="left"/>
        <w:rPr>
          <w:sz w:val="24"/>
        </w:rPr>
      </w:pPr>
      <w:r>
        <w:rPr>
          <w:rFonts w:ascii="Times New Roman;serif" w:hAnsi="Times New Roman;serif"/>
          <w:b w:val="false"/>
          <w:i/>
          <w:sz w:val="20"/>
        </w:rPr>
        <w:t xml:space="preserve">Our discussion and analysis of the key operating performance measures and financial results for fiscal year </w:t>
      </w:r>
      <w:r>
        <w:rPr>
          <w:rFonts w:ascii="Times New Roman;serif" w:hAnsi="Times New Roman;serif"/>
          <w:b w:val="false"/>
          <w:i/>
          <w:strike w:val="false"/>
          <w:dstrike w:val="false"/>
          <w:sz w:val="20"/>
          <w:u w:val="none"/>
          <w:effect w:val="none"/>
        </w:rPr>
        <w:t>2025</w:t>
      </w:r>
      <w:r>
        <w:rPr>
          <w:sz w:val="24"/>
        </w:rPr>
        <w:t xml:space="preserve"> </w:t>
      </w:r>
    </w:p>
    <w:p>
      <w:pPr>
        <w:pStyle w:val="TextBody"/>
        <w:bidi w:val="0"/>
        <w:spacing w:lineRule="atLeast" w:line="200" w:before="0" w:after="0"/>
        <w:jc w:val="left"/>
        <w:rPr>
          <w:sz w:val="24"/>
        </w:rPr>
      </w:pPr>
      <w:r>
        <w:rPr>
          <w:rFonts w:ascii="Times New Roman;serif" w:hAnsi="Times New Roman;serif"/>
          <w:b w:val="false"/>
          <w:i/>
          <w:sz w:val="20"/>
        </w:rPr>
        <w:t xml:space="preserve">compared to fiscal year </w:t>
      </w:r>
      <w:r>
        <w:rPr>
          <w:rFonts w:ascii="Times New Roman;serif" w:hAnsi="Times New Roman;serif"/>
          <w:b w:val="false"/>
          <w:i/>
          <w:strike w:val="false"/>
          <w:dstrike w:val="false"/>
          <w:sz w:val="20"/>
          <w:u w:val="none"/>
          <w:effect w:val="none"/>
        </w:rPr>
        <w:t>2024</w:t>
      </w:r>
      <w:r>
        <w:rPr>
          <w:sz w:val="24"/>
        </w:rPr>
        <w:t xml:space="preserve"> </w:t>
      </w:r>
      <w:r>
        <w:rPr>
          <w:rFonts w:ascii="Times New Roman;serif" w:hAnsi="Times New Roman;serif"/>
          <w:b w:val="false"/>
          <w:i/>
          <w:sz w:val="20"/>
        </w:rPr>
        <w:t xml:space="preserve">is included herein.  For discussion and analysis of fiscal year </w:t>
      </w:r>
      <w:r>
        <w:rPr>
          <w:rFonts w:ascii="Times New Roman;serif" w:hAnsi="Times New Roman;serif"/>
          <w:b w:val="false"/>
          <w:i/>
          <w:strike w:val="false"/>
          <w:dstrike w:val="false"/>
          <w:sz w:val="20"/>
          <w:u w:val="none"/>
          <w:effect w:val="none"/>
        </w:rPr>
        <w:t>2024</w:t>
      </w:r>
      <w:r>
        <w:rPr>
          <w:sz w:val="24"/>
        </w:rPr>
        <w:t xml:space="preserve"> </w:t>
      </w:r>
      <w:r>
        <w:rPr>
          <w:rFonts w:ascii="Times New Roman;serif" w:hAnsi="Times New Roman;serif"/>
          <w:b w:val="false"/>
          <w:i/>
          <w:sz w:val="20"/>
        </w:rPr>
        <w:t xml:space="preserve">compared to fiscal year </w:t>
      </w:r>
      <w:r>
        <w:rPr>
          <w:rFonts w:ascii="Times New Roman;serif" w:hAnsi="Times New Roman;serif"/>
          <w:b w:val="false"/>
          <w:i/>
          <w:strike w:val="false"/>
          <w:dstrike w:val="false"/>
          <w:sz w:val="20"/>
          <w:u w:val="none"/>
          <w:effect w:val="none"/>
        </w:rPr>
        <w:t>2023</w:t>
      </w:r>
      <w:r>
        <w:rPr>
          <w:rFonts w:ascii="Times New Roman;serif" w:hAnsi="Times New Roman;serif"/>
          <w:b w:val="false"/>
          <w:i/>
          <w:sz w:val="20"/>
        </w:rPr>
        <w:t xml:space="preserve">, </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please refer to “Management’s Discussion and Analysis of Financial Condition and Results of Operations” in Item 7 of Part II </w:t>
      </w:r>
    </w:p>
    <w:p>
      <w:pPr>
        <w:pStyle w:val="TextBody"/>
        <w:bidi w:val="0"/>
        <w:spacing w:lineRule="atLeast" w:line="200" w:before="0" w:after="0"/>
        <w:jc w:val="left"/>
        <w:rPr>
          <w:sz w:val="24"/>
        </w:rPr>
      </w:pPr>
      <w:r>
        <w:rPr>
          <w:rFonts w:ascii="Times New Roman;serif" w:hAnsi="Times New Roman;serif"/>
          <w:b w:val="false"/>
          <w:i/>
          <w:sz w:val="20"/>
        </w:rPr>
        <w:t xml:space="preserve">in our Annual Report on Form 10-K for the fiscal year ended December 31, </w:t>
      </w:r>
      <w:r>
        <w:rPr>
          <w:rFonts w:ascii="Times New Roman;serif" w:hAnsi="Times New Roman;serif"/>
          <w:b w:val="false"/>
          <w:i/>
          <w:strike w:val="false"/>
          <w:dstrike w:val="false"/>
          <w:sz w:val="20"/>
          <w:u w:val="none"/>
          <w:effect w:val="none"/>
        </w:rPr>
        <w:t>2024</w:t>
      </w:r>
      <w:r>
        <w:rPr>
          <w:rFonts w:ascii="Times New Roman;serif" w:hAnsi="Times New Roman;serif"/>
          <w:b w:val="false"/>
          <w:i/>
          <w:sz w:val="20"/>
        </w:rPr>
        <w:t xml:space="preserve">, which was filed with the SEC on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February 14, 2025</w:t>
      </w:r>
      <w:r>
        <w:rPr>
          <w:rFonts w:ascii="Times New Roman;serif" w:hAnsi="Times New Roman;serif"/>
          <w:b w:val="false"/>
          <w:i/>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 xml:space="preserve">Executive Overview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AMG is a strategic partner to leading independent investment firms globally.  Our strategy is to generate long-term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by investing in high-quality independent partner-owned firms, which we refer to as “Affiliates,” through a proven partnership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approach, and allocating resources across our unique opportunity set to the areas of highest growth and return.  With their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entrepreneurial, investment-centric cultures and alignment of interests with clients through direct equity ownership by firm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principals, independent firms have fundamental competitive advantages in offering unique return streams to the marketplace.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AMG’s distinctive approach, we enhance these advantages to magnify the long-term success of our Affiliates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actively support their independence.  Our innovative model enables each Affiliate’s management team to retain autonomy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significant equity ownership in their firm, while they leverage our strategic capabilities and insight, including access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growth capital, product strategy and development, capital formation capabilities, incentive alignment and succession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planning, and strategic advisory to expand their reach, diversify their businesses, and enhance their long-term success.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aggregate assets under management were approximately </w:t>
      </w:r>
      <w:r>
        <w:rPr>
          <w:rFonts w:ascii="Times New Roman;serif" w:hAnsi="Times New Roman;serif"/>
          <w:b w:val="false"/>
          <w:i w:val="false"/>
          <w:caps w:val="false"/>
          <w:smallCaps w:val="false"/>
          <w:strike w:val="false"/>
          <w:dstrike w:val="false"/>
          <w:sz w:val="20"/>
          <w:u w:val="none"/>
          <w:effect w:val="none"/>
        </w:rPr>
        <w:t>$813 billion</w:t>
      </w:r>
      <w:r>
        <w:rPr>
          <w:caps w:val="false"/>
          <w:smallCaps w:val="false"/>
          <w:sz w:val="24"/>
        </w:rPr>
        <w:t xml:space="preserve"> </w:t>
      </w:r>
      <w:r>
        <w:rPr>
          <w:rFonts w:ascii="Times New Roman;serif" w:hAnsi="Times New Roman;serif"/>
          <w:b w:val="false"/>
          <w:i w:val="false"/>
          <w:caps w:val="false"/>
          <w:smallCaps w:val="false"/>
          <w:sz w:val="20"/>
        </w:rPr>
        <w:t xml:space="preserve">across a diverse range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private markets, </w:t>
      </w:r>
      <w:r>
        <w:rPr>
          <w:rFonts w:ascii="Times New Roman;serif" w:hAnsi="Times New Roman;serif"/>
          <w:b w:val="false"/>
          <w:i w:val="false"/>
          <w:caps w:val="false"/>
          <w:smallCaps w:val="false"/>
          <w:strike w:val="false"/>
          <w:dstrike w:val="false"/>
          <w:sz w:val="20"/>
          <w:u w:val="none"/>
          <w:effect w:val="none"/>
        </w:rPr>
        <w:t>liquid alternative</w:t>
      </w:r>
      <w:r>
        <w:rPr>
          <w:rFonts w:ascii="Times New Roman;serif" w:hAnsi="Times New Roman;serif"/>
          <w:b w:val="false"/>
          <w:i w:val="false"/>
          <w:caps w:val="false"/>
          <w:smallCaps w:val="false"/>
          <w:sz w:val="20"/>
        </w:rPr>
        <w:t>, and differentiated long-only investment strategies.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 2025, we advanced our strategy of allocating capital to areas of durable client demand by entering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into</w:t>
      </w:r>
      <w:r>
        <w:rPr>
          <w:caps w:val="false"/>
          <w:smallCaps w:val="false"/>
          <w:sz w:val="24"/>
        </w:rPr>
        <w:t xml:space="preserve"> </w:t>
      </w:r>
      <w:r>
        <w:rPr>
          <w:rFonts w:ascii="Times New Roman;serif" w:hAnsi="Times New Roman;serif"/>
          <w:b w:val="false"/>
          <w:i w:val="false"/>
          <w:caps w:val="false"/>
          <w:smallCaps w:val="false"/>
          <w:sz w:val="20"/>
        </w:rPr>
        <w:t xml:space="preserve">four new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partnerships with independent firms collectively managing approximately </w:t>
      </w:r>
      <w:r>
        <w:rPr>
          <w:rFonts w:ascii="Times New Roman;serif" w:hAnsi="Times New Roman;serif"/>
          <w:b w:val="false"/>
          <w:i w:val="false"/>
          <w:caps w:val="false"/>
          <w:smallCaps w:val="false"/>
          <w:strike w:val="false"/>
          <w:dstrike w:val="false"/>
          <w:sz w:val="20"/>
          <w:u w:val="none"/>
          <w:effect w:val="none"/>
        </w:rPr>
        <w:t>$23 billion</w:t>
      </w:r>
      <w:r>
        <w:rPr>
          <w:caps w:val="false"/>
          <w:smallCaps w:val="false"/>
          <w:sz w:val="24"/>
        </w:rPr>
        <w:t xml:space="preserve"> </w:t>
      </w:r>
      <w:r>
        <w:rPr>
          <w:rFonts w:ascii="Times New Roman;serif" w:hAnsi="Times New Roman;serif"/>
          <w:b w:val="false"/>
          <w:i w:val="false"/>
          <w:caps w:val="false"/>
          <w:smallCaps w:val="false"/>
          <w:sz w:val="20"/>
        </w:rPr>
        <w:t xml:space="preserve">in alternative strategies, announcing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strategic partnership with Brown Brothers Harriman (“BBH”), and further expanding our U.S. wealth platform.</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w:t>
      </w:r>
      <w:r>
        <w:rPr>
          <w:rFonts w:ascii="Times New Roman;serif" w:hAnsi="Times New Roman;serif"/>
          <w:b w:val="false"/>
          <w:i w:val="false"/>
          <w:caps w:val="false"/>
          <w:smallCaps w:val="false"/>
          <w:strike w:val="false"/>
          <w:dstrike w:val="false"/>
          <w:sz w:val="20"/>
          <w:u w:val="none"/>
          <w:effect w:val="none"/>
        </w:rPr>
        <w:t xml:space="preserve">n the first quarter of 2025, we completed our minority investment in NorthBridge Partners, LLC (“NorthBridge”),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private markets manager specializing in industrial logistics real estate assets, and in the second quarter of 2025, we completed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minority investment in Verition Fund Management LLC (“Verition”), a global multi-strategy investment firm.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fourth quarter of 2025, we completed our minority investments in Montefiore Investment (“Montefiore”),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European private equity firm focused on the services sector, and Qualitas Energy, a renewables-focused global infrastructure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manager specializing in energy transition.  We also announced a strategic partnership with BBH, a privately held global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services firm, to acquire a minority equity interest in BBH Credit Partners, a newly formed subsidiary of BBH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focused on structured and alternative credit investment strategies.  The transaction was completed in January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Following the close of these transactions, Affiliate management continues to hold a significant majority of the equity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 businesses and directs the day-to-day 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February 12, 2026, we announced the completion of our additional minority investment in Garda Capital Partners LP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(“Garda”), a liquid alternatives manager specializing in fixed income relative value strategies and an Affiliate since 2019,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our minority investment in HighBrook Investors (“HighBrook”), a private markets manager specializing in real estate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Following the close of the transactions, our investment in Garda continues to be accounted for under the equity method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management continues to hold a majority of the equity of the respective businesses and directs the day-to-day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While Affiliates typically partner with AMG to preserve their independence and partnership culture, evolving conditions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may lead an Affiliate to consider strategic alternatives; consistent with our partnership approach, in such instances, we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collaborate with Affiliates to evaluate these options.  When strategic transactions occur, they typically enhance our flexibility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execute our growth strategy and return capital to shareholders, as we deploy the resulting proceeds in accordance with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disciplined capital allocation framework.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third quarter of 2025, we completed the sale of our minority equity interest in Peppertree Capital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 (“Peppertree”), as part of the announced acquisition of Peppertree by TPG Inc. (“TPG”), a public company listed on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Nasdaq Global Select Market (the “Peppertree Transaction”).  Pursuant to the terms of the agreement with TPG, under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and each of the other owners agreed to sell our respective equity interests in Peppertree, we received total consideration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$253.2 million</w:t>
      </w:r>
      <w:r>
        <w:rPr>
          <w:rFonts w:ascii="Times New Roman;serif" w:hAnsi="Times New Roman;serif"/>
          <w:b w:val="false"/>
          <w:i w:val="false"/>
          <w:caps w:val="false"/>
          <w:smallCaps w:val="false"/>
          <w:sz w:val="20"/>
        </w:rPr>
        <w:t xml:space="preserve">, net of transaction costs, which included </w:t>
      </w:r>
      <w:r>
        <w:rPr>
          <w:rFonts w:ascii="Times New Roman;serif" w:hAnsi="Times New Roman;serif"/>
          <w:b w:val="false"/>
          <w:i w:val="false"/>
          <w:caps w:val="false"/>
          <w:smallCaps w:val="false"/>
          <w:strike w:val="false"/>
          <w:dstrike w:val="false"/>
          <w:sz w:val="20"/>
          <w:u w:val="none"/>
          <w:effect w:val="none"/>
        </w:rPr>
        <w:t>$99.8 million</w:t>
      </w:r>
      <w:r>
        <w:rPr>
          <w:caps w:val="false"/>
          <w:smallCaps w:val="false"/>
          <w:sz w:val="24"/>
        </w:rPr>
        <w:t xml:space="preserve"> </w:t>
      </w:r>
      <w:r>
        <w:rPr>
          <w:rFonts w:ascii="Times New Roman;serif" w:hAnsi="Times New Roman;serif"/>
          <w:b w:val="false"/>
          <w:i w:val="false"/>
          <w:caps w:val="false"/>
          <w:smallCaps w:val="false"/>
          <w:sz w:val="20"/>
        </w:rPr>
        <w:t xml:space="preserve">in cash and </w:t>
      </w:r>
      <w:r>
        <w:rPr>
          <w:rFonts w:ascii="Times New Roman;serif" w:hAnsi="Times New Roman;serif"/>
          <w:b w:val="false"/>
          <w:i w:val="false"/>
          <w:caps w:val="false"/>
          <w:smallCaps w:val="false"/>
          <w:strike w:val="false"/>
          <w:dstrike w:val="false"/>
          <w:sz w:val="20"/>
          <w:u w:val="none"/>
          <w:effect w:val="none"/>
        </w:rPr>
        <w:t>2.9 million</w:t>
      </w:r>
      <w:r>
        <w:rPr>
          <w:caps w:val="false"/>
          <w:smallCaps w:val="false"/>
          <w:sz w:val="24"/>
        </w:rPr>
        <w:t xml:space="preserve"> </w:t>
      </w:r>
      <w:r>
        <w:rPr>
          <w:rFonts w:ascii="Times New Roman;serif" w:hAnsi="Times New Roman;serif"/>
          <w:b w:val="false"/>
          <w:i w:val="false"/>
          <w:caps w:val="false"/>
          <w:smallCaps w:val="false"/>
          <w:sz w:val="20"/>
        </w:rPr>
        <w:t xml:space="preserve">TPG Class A common shares,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all of which we have since sold.  Our </w:t>
      </w:r>
      <w:r>
        <w:rPr>
          <w:rFonts w:ascii="Times New Roman;serif" w:hAnsi="Times New Roman;serif"/>
          <w:b w:val="false"/>
          <w:i w:val="false"/>
          <w:caps w:val="false"/>
          <w:smallCaps w:val="false"/>
          <w:strike w:val="false"/>
          <w:dstrike w:val="false"/>
          <w:sz w:val="20"/>
          <w:u w:val="none"/>
          <w:effect w:val="none"/>
        </w:rPr>
        <w:t>gain</w:t>
      </w:r>
      <w:r>
        <w:rPr>
          <w:caps w:val="false"/>
          <w:smallCaps w:val="false"/>
          <w:sz w:val="24"/>
        </w:rPr>
        <w:t xml:space="preserve"> </w:t>
      </w:r>
      <w:r>
        <w:rPr>
          <w:rFonts w:ascii="Times New Roman;serif" w:hAnsi="Times New Roman;serif"/>
          <w:b w:val="false"/>
          <w:i w:val="false"/>
          <w:caps w:val="false"/>
          <w:smallCaps w:val="false"/>
          <w:sz w:val="20"/>
        </w:rPr>
        <w:t xml:space="preserve">from the transaction was </w:t>
      </w:r>
      <w:r>
        <w:rPr>
          <w:rFonts w:ascii="Times New Roman;serif" w:hAnsi="Times New Roman;serif"/>
          <w:b w:val="false"/>
          <w:i w:val="false"/>
          <w:caps w:val="false"/>
          <w:smallCaps w:val="false"/>
          <w:strike w:val="false"/>
          <w:dstrike w:val="false"/>
          <w:sz w:val="20"/>
          <w:u w:val="none"/>
          <w:effect w:val="none"/>
        </w:rPr>
        <w:t>$127.6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November 2025, Comvest Partners (“Comvest”) completed the previously announced agreement to sell its private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business to Manulife Financial Corporation (the “Comvest Transaction”).  Pursuant to the terms of the agreement,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received total cash consideration of $282.0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our portion of Comvest’s private credit business and our gain from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 was $227.6 million.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December 2025, we completed the sale of our minority equity interest in Montrusco Bolton Investments Inc.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(“Montrusco Bolton”) </w:t>
      </w:r>
      <w:r>
        <w:rPr>
          <w:rFonts w:ascii="Times New Roman;serif" w:hAnsi="Times New Roman;serif"/>
          <w:b w:val="false"/>
          <w:i w:val="false"/>
          <w:caps w:val="false"/>
          <w:smallCaps w:val="false"/>
          <w:strike w:val="false"/>
          <w:dstrike w:val="false"/>
          <w:sz w:val="20"/>
          <w:u w:val="none"/>
          <w:effect w:val="none"/>
        </w:rPr>
        <w:t>to Walter Global Asset Management Inc.</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(the “Montrusco Bolton Transaction”</w:t>
      </w:r>
      <w:r>
        <w:rPr>
          <w:rFonts w:ascii="Times New Roman;serif" w:hAnsi="Times New Roman;serif"/>
          <w:b w:val="false"/>
          <w:i w:val="false"/>
          <w:caps w:val="false"/>
          <w:smallCaps w:val="false"/>
          <w:sz w:val="20"/>
        </w:rPr>
        <w:t xml:space="preserve">).  Pursuant to the terms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the agreement, we received total cash consideration of </w:t>
      </w:r>
      <w:r>
        <w:rPr>
          <w:rFonts w:ascii="Times New Roman;serif" w:hAnsi="Times New Roman;serif"/>
          <w:b w:val="false"/>
          <w:i w:val="false"/>
          <w:caps w:val="false"/>
          <w:smallCaps w:val="false"/>
          <w:strike w:val="false"/>
          <w:dstrike w:val="false"/>
          <w:sz w:val="20"/>
          <w:u w:val="none"/>
          <w:effect w:val="none"/>
        </w:rPr>
        <w:t>$22.0 million</w:t>
      </w:r>
      <w:r>
        <w:rPr>
          <w:caps w:val="false"/>
          <w:smallCaps w:val="false"/>
          <w:sz w:val="24"/>
        </w:rPr>
        <w:t xml:space="preserve"> </w:t>
      </w:r>
      <w:r>
        <w:rPr>
          <w:rFonts w:ascii="Times New Roman;serif" w:hAnsi="Times New Roman;serif"/>
          <w:b w:val="false"/>
          <w:i w:val="false"/>
          <w:caps w:val="false"/>
          <w:smallCaps w:val="false"/>
          <w:sz w:val="20"/>
        </w:rPr>
        <w:t xml:space="preserve">and our gain from the transaction was </w:t>
      </w:r>
      <w:r>
        <w:rPr>
          <w:rFonts w:ascii="Times New Roman;serif" w:hAnsi="Times New Roman;serif"/>
          <w:b w:val="false"/>
          <w:i w:val="false"/>
          <w:caps w:val="false"/>
          <w:smallCaps w:val="false"/>
          <w:strike w:val="false"/>
          <w:dstrike w:val="false"/>
          <w:sz w:val="20"/>
          <w:u w:val="none"/>
          <w:effect w:val="none"/>
        </w:rPr>
        <w:t>$16.2 million</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Operating Performance Measures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accounting principles generally accepted in the U.S. (“GAAP”), we are required to consolidate certain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and use the equity method of accounting for others.  Whether we consolidate an Affiliate or use the equity method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we maintain the same innovative partnership approach and provide support and assistance in substantially the same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manner for all of our Affiliates.  Furthermore, all of our Affiliates are investment managers and are impacted by similar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marketplace factors and industry trends.  Therefore, certain key aggregate operating performance measures are important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providing management with a comprehensive view of the operating performance and material trends across our entire business.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key aggregate operating performance measures:</w:t>
      </w:r>
    </w:p>
    <w:tbl>
      <w:tblPr>
        <w:tblW w:w="9656" w:type="dxa"/>
        <w:jc w:val="left"/>
        <w:tblInd w:w="0" w:type="dxa"/>
        <w:tblLayout w:type="fixed"/>
        <w:tblCellMar>
          <w:top w:w="28" w:type="dxa"/>
          <w:left w:w="28" w:type="dxa"/>
          <w:bottom w:w="28" w:type="dxa"/>
          <w:right w:w="28" w:type="dxa"/>
        </w:tblCellMar>
      </w:tblPr>
      <w:tblGrid>
        <w:gridCol w:w="5161"/>
        <w:gridCol w:w="109"/>
        <w:gridCol w:w="721"/>
        <w:gridCol w:w="109"/>
        <w:gridCol w:w="721"/>
        <w:gridCol w:w="109"/>
        <w:gridCol w:w="871"/>
        <w:gridCol w:w="109"/>
        <w:gridCol w:w="721"/>
        <w:gridCol w:w="109"/>
        <w:gridCol w:w="916"/>
      </w:tblGrid>
      <w:tr>
        <w:trPr/>
        <w:tc>
          <w:tcPr>
            <w:tcW w:w="5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As of and for the Years Ended December 31,</w:t>
            </w:r>
          </w:p>
        </w:tc>
      </w:tr>
      <w:tr>
        <w:trPr/>
        <w:tc>
          <w:tcPr>
            <w:tcW w:w="516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billions,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Assets under management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r>
      <w:tr>
        <w:trPr/>
        <w:tc>
          <w:tcPr>
            <w:tcW w:w="516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assets under management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51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Aggregate fees (in millions)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5,066.6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5,236.0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6,167.5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under management, and therefore average assets under management, include the assets under management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and equity method Affiliates.  Assets under management is presented on a current basis without regard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timing of the inclusion of an Affiliate’s financial results in our operating performance measures and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Average assets under management reflects the timing of the inclusion of an Affiliate’s financial results in our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operating performance measures and Consolidated Financial Statements.  </w:t>
      </w:r>
      <w:r>
        <w:rPr>
          <w:rFonts w:ascii="Times New Roman;serif" w:hAnsi="Times New Roman;serif"/>
          <w:b w:val="false"/>
          <w:i w:val="false"/>
          <w:caps w:val="false"/>
          <w:smallCaps w:val="false"/>
          <w:strike w:val="false"/>
          <w:dstrike w:val="false"/>
          <w:sz w:val="20"/>
          <w:u w:val="none"/>
          <w:effect w:val="none"/>
        </w:rPr>
        <w:t xml:space="preserve">Average assets under management for equities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similar investment products generally represents an average of the daily net assets under management, while for liquid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alternatives and multi-asset and fixed income products, average assets under management generally represents an average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at the beginning or end of each month during the applicable period.  Average assets under management for private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markets products generally represents total commitments or invested assets under management.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Aggregate fees consist of the total asset- and performance-based fees earned by all of our consolidated and equity method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In the case of our equity method Affiliates, asset- and performance-based fees are presented net of certain expense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reimbursements paid by the underlying products.  For certain of our Affiliates accounted for under the equity method, we report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Affiliate’s aggregate fees one quarter in arrears.  Aggregate fees are provided in addition to, but not as a substitute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revenue or other GAAP performance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Assets Under Management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Our Affiliates manage capital on behalf of clients across a diverse range of investment strategies.  Our Affiliates earn asset-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fees on the capital that they manage and certain of our Affiliate’s strategies earn performance-based fees based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performance generated by their investment products.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assets under management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increased </w:t>
      </w:r>
      <w:r>
        <w:rPr>
          <w:rFonts w:ascii="Times New Roman;serif" w:hAnsi="Times New Roman;serif"/>
          <w:b w:val="false"/>
          <w:i w:val="false"/>
          <w:caps w:val="false"/>
          <w:smallCaps w:val="false"/>
          <w:strike w:val="false"/>
          <w:dstrike w:val="false"/>
          <w:sz w:val="20"/>
          <w:u w:val="none"/>
          <w:effect w:val="none"/>
        </w:rPr>
        <w:t>$105.4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driven by a combination of investment performance generated across our Affiliates, net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inflows, and the addition of assets associated with new partnerships with Affiliates operating in growing areas within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alternative strategies.  C</w:t>
      </w:r>
      <w:r>
        <w:rPr>
          <w:rFonts w:ascii="Times New Roman;serif" w:hAnsi="Times New Roman;serif"/>
          <w:b w:val="false"/>
          <w:i w:val="false"/>
          <w:caps w:val="false"/>
          <w:smallCaps w:val="false"/>
          <w:sz w:val="20"/>
        </w:rPr>
        <w:t xml:space="preserve">lient demand for alternative strategies continued in 2025, with strong net inflows into liquid alternative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strategies and momentum in private markets fundraising, which more than offset net outflows in equity strategies </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z w:val="20"/>
        </w:rPr>
        <w:t xml:space="preserve">an area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continues to face headwinds in line with industry trends — and the removal of assets under management associated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sale of certain minority equity interests in Affiliates completed during the year.  As we continue to execute our growth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strategy by investing in new and existing Affiliates, as well as in AMG’s strategic capabilities, we expect our business mix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further evolve, expanding our exposure to in-demand strategies in both private markets and liquid alternatives, better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positioning AMG to continue to benefit from industry growth trends with a</w:t>
      </w:r>
      <w:r>
        <w:rPr>
          <w:rFonts w:ascii="Times New Roman;serif" w:hAnsi="Times New Roman;serif"/>
          <w:b w:val="false"/>
          <w:i w:val="false"/>
          <w:caps w:val="false"/>
          <w:smallCaps w:val="false"/>
          <w:strike w:val="false"/>
          <w:dstrike w:val="false"/>
          <w:sz w:val="20"/>
          <w:u w:val="none"/>
          <w:effect w:val="none"/>
        </w:rPr>
        <w:t>n increasingly</w:t>
      </w:r>
      <w:r>
        <w:rPr>
          <w:caps w:val="false"/>
          <w:smallCaps w:val="false"/>
          <w:sz w:val="24"/>
        </w:rPr>
        <w:t xml:space="preserve"> </w:t>
      </w:r>
      <w:r>
        <w:rPr>
          <w:rFonts w:ascii="Times New Roman;serif" w:hAnsi="Times New Roman;serif"/>
          <w:b w:val="false"/>
          <w:i w:val="false"/>
          <w:caps w:val="false"/>
          <w:smallCaps w:val="false"/>
          <w:sz w:val="20"/>
        </w:rPr>
        <w:t xml:space="preserve">diversified business profile.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changes in our assets under management by strategy:</w:t>
      </w:r>
    </w:p>
    <w:tbl>
      <w:tblPr>
        <w:tblW w:w="9094" w:type="dxa"/>
        <w:jc w:val="left"/>
        <w:tblInd w:w="0" w:type="dxa"/>
        <w:tblLayout w:type="fixed"/>
        <w:tblCellMar>
          <w:top w:w="28" w:type="dxa"/>
          <w:left w:w="28" w:type="dxa"/>
          <w:bottom w:w="28" w:type="dxa"/>
          <w:right w:w="28" w:type="dxa"/>
        </w:tblCellMar>
      </w:tblPr>
      <w:tblGrid>
        <w:gridCol w:w="4261"/>
        <w:gridCol w:w="109"/>
        <w:gridCol w:w="706"/>
        <w:gridCol w:w="109"/>
        <w:gridCol w:w="991"/>
        <w:gridCol w:w="109"/>
        <w:gridCol w:w="684"/>
        <w:gridCol w:w="110"/>
        <w:gridCol w:w="1170"/>
        <w:gridCol w:w="109"/>
        <w:gridCol w:w="736"/>
      </w:tblGrid>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1964"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Differentiated Long-Only</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26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billions)</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Private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Markets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Liquid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Alternatives</w:t>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Equities</w:t>
            </w:r>
          </w:p>
        </w:tc>
        <w:tc>
          <w:tcPr>
            <w:tcW w:w="11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Multi-Asset &amp;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Fixed Income</w:t>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42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$316.2</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$707.9</w:t>
            </w:r>
          </w:p>
        </w:tc>
      </w:tr>
      <w:tr>
        <w:trPr/>
        <w:tc>
          <w:tcPr>
            <w:tcW w:w="426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Client cash inflows and commitments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160.9</w:t>
            </w:r>
          </w:p>
        </w:tc>
      </w:tr>
      <w:tr>
        <w:trPr/>
        <w:tc>
          <w:tcPr>
            <w:tcW w:w="42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Client cash outflows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(132.2)</w:t>
            </w:r>
          </w:p>
        </w:tc>
      </w:tr>
      <w:tr>
        <w:trPr/>
        <w:tc>
          <w:tcPr>
            <w:tcW w:w="426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client cash flows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(45.3)</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w:t>
            </w:r>
          </w:p>
        </w:tc>
      </w:tr>
      <w:tr>
        <w:trPr/>
        <w:tc>
          <w:tcPr>
            <w:tcW w:w="42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New investments</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23.0</w:t>
            </w:r>
          </w:p>
        </w:tc>
      </w:tr>
      <w:tr>
        <w:trPr/>
        <w:tc>
          <w:tcPr>
            <w:tcW w:w="426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Affiliate transactions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(32.5)</w:t>
            </w:r>
          </w:p>
        </w:tc>
      </w:tr>
      <w:tr>
        <w:trPr/>
        <w:tc>
          <w:tcPr>
            <w:tcW w:w="42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Market changes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85.3</w:t>
            </w:r>
          </w:p>
        </w:tc>
      </w:tr>
      <w:tr>
        <w:trPr/>
        <w:tc>
          <w:tcPr>
            <w:tcW w:w="426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Foreign exchange</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w:t>
            </w:r>
          </w:p>
        </w:tc>
      </w:tr>
      <w:tr>
        <w:trPr/>
        <w:tc>
          <w:tcPr>
            <w:tcW w:w="42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Realizations and distributions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w:t>
            </w:r>
          </w:p>
        </w:tc>
      </w:tr>
      <w:tr>
        <w:trPr/>
        <w:tc>
          <w:tcPr>
            <w:tcW w:w="426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w:t>
            </w:r>
            <w:r>
              <w:rPr>
                <w:rFonts w:ascii="Times New Roman;serif" w:hAnsi="Times New Roman;serif"/>
                <w:b w:val="false"/>
                <w:i w:val="false"/>
                <w:caps w:val="false"/>
                <w:smallCaps w:val="false"/>
                <w:strike w:val="false"/>
                <w:dstrike w:val="false"/>
                <w:sz w:val="10"/>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8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1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r>
      <w:tr>
        <w:trPr/>
        <w:tc>
          <w:tcPr>
            <w:tcW w:w="42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8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$312.1</w:t>
            </w:r>
          </w:p>
        </w:tc>
        <w:tc>
          <w:tcPr>
            <w:tcW w:w="11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$813.3</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Attributable to NorthBridge, Verition, Montefiore, and Qualitas Energy as of their respective closing dates.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Attributable to Peppertree,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Comvest’s private credit business, and Montrusco Bolton </w:t>
      </w:r>
      <w:r>
        <w:rPr>
          <w:rFonts w:ascii="Times New Roman;serif" w:hAnsi="Times New Roman;serif"/>
          <w:b w:val="false"/>
          <w:i w:val="false"/>
          <w:caps w:val="false"/>
          <w:smallCaps w:val="false"/>
          <w:sz w:val="20"/>
        </w:rPr>
        <w:t>as of their respective closing dates.</w:t>
      </w:r>
    </w:p>
    <w:p>
      <w:pPr>
        <w:pStyle w:val="TextBody"/>
        <w:bidi w:val="0"/>
        <w:spacing w:lineRule="atLeast" w:line="200" w:before="0" w:after="0"/>
        <w:jc w:val="left"/>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z w:val="20"/>
        </w:rPr>
        <w:t xml:space="preserve">Foreign exchange reflects the impact of translating the assets under management of our Affiliates whose functional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currency is not the U.S. dollar into our functional currency.</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trike w:val="false"/>
          <w:dstrike w:val="false"/>
          <w:sz w:val="20"/>
          <w:u w:val="none"/>
          <w:effect w:val="none"/>
        </w:rPr>
        <w:t>Other includes</w:t>
      </w:r>
      <w:r>
        <w:rPr>
          <w:caps w:val="false"/>
          <w:smallCaps w:val="false"/>
          <w:sz w:val="24"/>
        </w:rPr>
        <w:t xml:space="preserve"> </w:t>
      </w:r>
      <w:r>
        <w:rPr>
          <w:rFonts w:ascii="Times New Roman;serif" w:hAnsi="Times New Roman;serif"/>
          <w:b w:val="false"/>
          <w:i w:val="false"/>
          <w:caps w:val="false"/>
          <w:smallCaps w:val="false"/>
          <w:sz w:val="20"/>
        </w:rPr>
        <w:t>product transitions and reclassifications.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tables present performance of our investment strategies, where available, measured by the percentage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under management ahead of their relevant benchmark:</w:t>
      </w:r>
    </w:p>
    <w:tbl>
      <w:tblPr>
        <w:tblW w:w="9511" w:type="dxa"/>
        <w:jc w:val="left"/>
        <w:tblInd w:w="0" w:type="dxa"/>
        <w:tblLayout w:type="fixed"/>
        <w:tblCellMar>
          <w:top w:w="28" w:type="dxa"/>
          <w:left w:w="28" w:type="dxa"/>
          <w:bottom w:w="28" w:type="dxa"/>
          <w:right w:w="28" w:type="dxa"/>
        </w:tblCellMar>
      </w:tblPr>
      <w:tblGrid>
        <w:gridCol w:w="4651"/>
        <w:gridCol w:w="109"/>
        <w:gridCol w:w="1066"/>
        <w:gridCol w:w="109"/>
        <w:gridCol w:w="1516"/>
        <w:gridCol w:w="109"/>
        <w:gridCol w:w="1951"/>
      </w:tblGrid>
      <w:tr>
        <w:trPr/>
        <w:tc>
          <w:tcPr>
            <w:tcW w:w="4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r>
      <w:tr>
        <w:trPr/>
        <w:tc>
          <w:tcPr>
            <w:tcW w:w="4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AUM Weight</w:t>
            </w:r>
          </w:p>
        </w:tc>
        <w:tc>
          <w:tcPr>
            <w:tcW w:w="109" w:type="dxa"/>
            <w:tcBorders/>
            <w:vAlign w:val="center"/>
          </w:tcPr>
          <w:p>
            <w:pPr>
              <w:pStyle w:val="TableContents"/>
              <w:bidi w:val="0"/>
              <w:spacing w:before="0" w:after="283"/>
              <w:jc w:val="left"/>
              <w:rPr>
                <w:sz w:val="4"/>
                <w:szCs w:val="4"/>
              </w:rPr>
            </w:pPr>
            <w:r>
              <w:rPr>
                <w:sz w:val="4"/>
                <w:szCs w:val="4"/>
              </w:rPr>
            </w:r>
          </w:p>
        </w:tc>
        <w:tc>
          <w:tcPr>
            <w:tcW w:w="357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 of AUM Ahead of Benchmark</w:t>
            </w:r>
            <w:r>
              <w:rPr>
                <w:rFonts w:ascii="Times New Roman;serif" w:hAnsi="Times New Roman;serif"/>
                <w:b/>
                <w:i w:val="false"/>
                <w:caps w:val="false"/>
                <w:smallCaps w:val="false"/>
                <w:sz w:val="10"/>
              </w:rPr>
              <w:t>(1)</w:t>
            </w:r>
          </w:p>
        </w:tc>
      </w:tr>
      <w:tr>
        <w:trPr/>
        <w:tc>
          <w:tcPr>
            <w:tcW w:w="46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IRR Latest Vintage</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IRR Last Three Vintages</w:t>
            </w:r>
          </w:p>
        </w:tc>
      </w:tr>
      <w:tr>
        <w:trPr/>
        <w:tc>
          <w:tcPr>
            <w:tcW w:w="46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Private markets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9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w:t>
            </w:r>
          </w:p>
        </w:tc>
      </w:tr>
    </w:tbl>
    <w:tbl>
      <w:tblPr>
        <w:tblW w:w="8710" w:type="dxa"/>
        <w:jc w:val="left"/>
        <w:tblInd w:w="0" w:type="dxa"/>
        <w:tblLayout w:type="fixed"/>
        <w:tblCellMar>
          <w:top w:w="28" w:type="dxa"/>
          <w:left w:w="28" w:type="dxa"/>
          <w:bottom w:w="28" w:type="dxa"/>
          <w:right w:w="28" w:type="dxa"/>
        </w:tblCellMar>
      </w:tblPr>
      <w:tblGrid>
        <w:gridCol w:w="4786"/>
        <w:gridCol w:w="109"/>
        <w:gridCol w:w="1066"/>
        <w:gridCol w:w="109"/>
        <w:gridCol w:w="733"/>
        <w:gridCol w:w="136"/>
        <w:gridCol w:w="733"/>
        <w:gridCol w:w="136"/>
        <w:gridCol w:w="902"/>
      </w:tblGrid>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AUM Weight</w:t>
            </w:r>
          </w:p>
        </w:tc>
        <w:tc>
          <w:tcPr>
            <w:tcW w:w="109" w:type="dxa"/>
            <w:tcBorders/>
            <w:vAlign w:val="center"/>
          </w:tcPr>
          <w:p>
            <w:pPr>
              <w:pStyle w:val="TableContents"/>
              <w:bidi w:val="0"/>
              <w:spacing w:before="0" w:after="283"/>
              <w:jc w:val="left"/>
              <w:rPr>
                <w:sz w:val="4"/>
                <w:szCs w:val="4"/>
              </w:rPr>
            </w:pPr>
            <w:r>
              <w:rPr>
                <w:sz w:val="4"/>
                <w:szCs w:val="4"/>
              </w:rPr>
            </w:r>
          </w:p>
        </w:tc>
        <w:tc>
          <w:tcPr>
            <w:tcW w:w="2640"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pPr>
            <w:r>
              <w:rPr>
                <w:rFonts w:ascii="Times New Roman;serif" w:hAnsi="Times New Roman;serif"/>
                <w:b/>
                <w:i w:val="false"/>
                <w:caps w:val="false"/>
                <w:smallCaps w:val="false"/>
                <w:sz w:val="16"/>
              </w:rPr>
              <w:t>% of AUM Ahead of Benchmark</w:t>
            </w:r>
            <w:r>
              <w:rPr>
                <w:rFonts w:ascii="Times New Roman;serif" w:hAnsi="Times New Roman;serif"/>
                <w:b/>
                <w:i w:val="false"/>
                <w:caps w:val="false"/>
                <w:smallCaps w:val="false"/>
                <w:sz w:val="10"/>
              </w:rPr>
              <w:t>(1)</w:t>
            </w:r>
          </w:p>
        </w:tc>
      </w:tr>
      <w:tr>
        <w:trPr/>
        <w:tc>
          <w:tcPr>
            <w:tcW w:w="4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3-year</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5-year</w:t>
            </w:r>
          </w:p>
        </w:tc>
        <w:tc>
          <w:tcPr>
            <w:tcW w:w="13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10-year</w:t>
            </w:r>
          </w:p>
        </w:tc>
      </w:tr>
      <w:tr>
        <w:trPr/>
        <w:tc>
          <w:tcPr>
            <w:tcW w:w="47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Liquid alternatives</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w:t>
            </w:r>
          </w:p>
        </w:tc>
      </w:tr>
      <w:tr>
        <w:trPr/>
        <w:tc>
          <w:tcPr>
            <w:tcW w:w="47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Equities</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73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36"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r>
      <w:tr>
        <w:trPr/>
        <w:tc>
          <w:tcPr>
            <w:tcW w:w="47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Multi-asset and fixed income</w:t>
            </w:r>
            <w:r>
              <w:rPr>
                <w:rFonts w:ascii="Times New Roman;serif" w:hAnsi="Times New Roman;serif"/>
                <w:b w:val="false"/>
                <w:i w:val="false"/>
                <w:caps w:val="false"/>
                <w:smallCaps w:val="false"/>
                <w:strike w:val="false"/>
                <w:dstrike w:val="false"/>
                <w:sz w:val="10"/>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733"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c>
          <w:tcPr>
            <w:tcW w:w="136"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N/A</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 xml:space="preserve">Past performance is not indicative of future results.  Performance and AUM information is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and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data available at the time of calculation.  Product returns are sourced from Affiliates while benchmark returns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generally sourced via third-party subscriptions.  </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For private markets products, performance is reported as the percentage of assets that have outperformed benchmarks on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since-inception internal rate of return basis.  Benchmarks utilized include a combination of public market equivalents, peer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medians, and absolute returns where benchmarks are not available.  For purposes of investment performance comparisons,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latest vintage comparison includes the most recent vehicles and strategies (traditional long-duration investment funds,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customized vehicles, and other evergreen vehicles and product structures) where meaningful performance is available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calculable.  In order to illustrate the performance of our private markets product category over a longer period of history,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last three vintages comparison incorporates the latest vintage vehicles and the prior two vintages for traditional long-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duration investment funds, as well as additional vehicles and strategies launched during the equivalent time period as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last three vintages of traditional long-duration investment funds.  Due to the nature of these investments and vehicles,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reported performance is typically on a three- to six-month lag basis.</w:t>
      </w:r>
    </w:p>
    <w:p>
      <w:pPr>
        <w:pStyle w:val="TextBody"/>
        <w:bidi w:val="0"/>
        <w:spacing w:lineRule="atLeast" w:line="200" w:before="0" w:after="0"/>
        <w:jc w:val="left"/>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z w:val="20"/>
        </w:rPr>
        <w:t xml:space="preserve">For liquid alternative and equity products, performance is reported as the percentage of assets that have outperformed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benchmarks across the indicated periods, and excludes market-hedging products.  For purposes of investment performance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comparisons, products are an aggregation of portfolios (separate accounts, investment funds, and other products) that each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represent a particular investment objective, using the most representative portfolio for the performance comparison.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 is presented for products with a three-, five-, and/or ten-year track record and is measured on a consistent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basis relative to the most appropriate benchmarks.  Benchmark appropriateness is generally reviewed annually to reflect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changes in how underlying portfolios/mandates are managed.  Product and benchmark performance is reflected as total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return and is annualized.  Reported product performance is gross-of-fees for institutional and high-net-worth separate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accounts, and generally net-of-fees across retail funds and other commingled vehicles such as hedge funds.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trike w:val="false"/>
          <w:dstrike w:val="false"/>
          <w:sz w:val="20"/>
          <w:u w:val="none"/>
          <w:effect w:val="none"/>
        </w:rPr>
        <w:t>Multi-asset and fixed income products are mainly our wealth management and solutions offerings.</w:t>
      </w:r>
      <w:r>
        <w:rPr>
          <w:caps w:val="false"/>
          <w:smallCaps w:val="false"/>
          <w:sz w:val="24"/>
        </w:rPr>
        <w:t xml:space="preserve">  </w:t>
      </w:r>
      <w:r>
        <w:rPr>
          <w:rFonts w:ascii="Times New Roman;serif" w:hAnsi="Times New Roman;serif"/>
          <w:b w:val="false"/>
          <w:i w:val="false"/>
          <w:caps w:val="false"/>
          <w:smallCaps w:val="false"/>
          <w:sz w:val="20"/>
        </w:rPr>
        <w:t xml:space="preserve">These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products are primarily customized toward wealth preservation, estate planning, and liability and tax management,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therefore are typically not measured against a benchmark.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Aggregate Fees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Aggregate fees consist of asset- and performance-based fees of our consolidated and equity method Affiliates.  In the case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our equity method Affiliates, asset- and performance-based fees are presented </w:t>
      </w:r>
      <w:r>
        <w:rPr>
          <w:rFonts w:ascii="Times New Roman;serif" w:hAnsi="Times New Roman;serif"/>
          <w:b w:val="false"/>
          <w:i w:val="false"/>
          <w:caps w:val="false"/>
          <w:smallCaps w:val="false"/>
          <w:strike w:val="false"/>
          <w:dstrike w:val="false"/>
          <w:sz w:val="20"/>
          <w:u w:val="none"/>
          <w:effect w:val="none"/>
        </w:rPr>
        <w:t>net of certain expense reimbursements paid</w:t>
      </w:r>
      <w:r>
        <w:rPr>
          <w:caps w:val="false"/>
          <w:smallCaps w:val="false"/>
          <w:sz w:val="24"/>
        </w:rPr>
        <w:t xml:space="preserve"> </w:t>
      </w:r>
      <w:r>
        <w:rPr>
          <w:rFonts w:ascii="Times New Roman;serif" w:hAnsi="Times New Roman;serif"/>
          <w:b w:val="false"/>
          <w:i w:val="false"/>
          <w:caps w:val="false"/>
          <w:smallCaps w:val="false"/>
          <w:sz w:val="20"/>
        </w:rPr>
        <w:t xml:space="preserve">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underlying products.  Asset-based fees include advisory and other fees earned by our Affiliates for services provided to their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clients and are typically determined as a percentage of the value of a client’s assets under management, generally i</w:t>
      </w:r>
      <w:r>
        <w:rPr>
          <w:rFonts w:ascii="Times New Roman;serif" w:hAnsi="Times New Roman;serif"/>
          <w:b w:val="false"/>
          <w:i w:val="false"/>
          <w:caps w:val="false"/>
          <w:smallCaps w:val="false"/>
          <w:strike w:val="false"/>
          <w:dstrike w:val="false"/>
          <w:sz w:val="20"/>
          <w:u w:val="none"/>
          <w:effect w:val="none"/>
        </w:rPr>
        <w:t xml:space="preserve">nclusive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uncalled commitments</w:t>
      </w:r>
      <w:r>
        <w:rPr>
          <w:rFonts w:ascii="Times New Roman;serif" w:hAnsi="Times New Roman;serif"/>
          <w:b w:val="false"/>
          <w:i w:val="false"/>
          <w:caps w:val="false"/>
          <w:smallCaps w:val="false"/>
          <w:sz w:val="20"/>
        </w:rPr>
        <w:t xml:space="preserve">.  Asset-based fees are generally impacted by the level of average assets under management and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composition of these assets across our strategies with different asset-based fee ratios.  Our asset-based fee ratio is calculated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asset-based fees divided by average assets under management.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some cases, if product returns exceed certain performance thresholds, we will participate in performance-based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Performance-based fees are based on investment performance, typically on an absolute basis or relative to a benchmark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hurdle rate, and are generally recognized when it is improbable that there will be a significant reversal in the amount of revenue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recognized.  Performance-based fees are generally recognized less frequently than asset-based fees and will vary from period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period because they inherently depend on investment performance.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approximately </w:t>
      </w:r>
      <w:r>
        <w:rPr>
          <w:rFonts w:ascii="Times New Roman;serif" w:hAnsi="Times New Roman;serif"/>
          <w:b w:val="false"/>
          <w:i w:val="false"/>
          <w:caps w:val="false"/>
          <w:smallCaps w:val="false"/>
          <w:strike w:val="false"/>
          <w:dstrike w:val="false"/>
          <w:sz w:val="20"/>
          <w:u w:val="none"/>
          <w:effect w:val="none"/>
        </w:rPr>
        <w:t>28%</w:t>
      </w:r>
      <w:r>
        <w:rPr>
          <w:caps w:val="false"/>
          <w:smallCaps w:val="false"/>
          <w:sz w:val="24"/>
        </w:rPr>
        <w:t xml:space="preserve"> </w:t>
      </w:r>
      <w:r>
        <w:rPr>
          <w:rFonts w:ascii="Times New Roman;serif" w:hAnsi="Times New Roman;serif"/>
          <w:b w:val="false"/>
          <w:i w:val="false"/>
          <w:caps w:val="false"/>
          <w:smallCaps w:val="false"/>
          <w:sz w:val="20"/>
        </w:rPr>
        <w:t xml:space="preserve">of our total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assets under management could potentially earn performance-based fees.  These percentages were approximately </w:t>
      </w:r>
      <w:r>
        <w:rPr>
          <w:rFonts w:ascii="Times New Roman;serif" w:hAnsi="Times New Roman;serif"/>
          <w:b w:val="false"/>
          <w:i w:val="false"/>
          <w:caps w:val="false"/>
          <w:smallCaps w:val="false"/>
          <w:strike w:val="false"/>
          <w:dstrike w:val="false"/>
          <w:sz w:val="20"/>
          <w:u w:val="none"/>
          <w:effect w:val="none"/>
        </w:rPr>
        <w:t>10%</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47%</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our assets under management for our consolidated Affiliates and Affiliates accounted for under the equity method,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respectively.  We anticipate performance-based fees will be a recurring component of </w:t>
      </w:r>
      <w:r>
        <w:rPr>
          <w:rFonts w:ascii="Times New Roman;serif" w:hAnsi="Times New Roman;serif"/>
          <w:b w:val="false"/>
          <w:i w:val="false"/>
          <w:caps w:val="false"/>
          <w:smallCaps w:val="false"/>
          <w:strike w:val="false"/>
          <w:dstrike w:val="false"/>
          <w:sz w:val="20"/>
          <w:u w:val="none"/>
          <w:effect w:val="none"/>
        </w:rPr>
        <w:t>aggregate fees</w:t>
      </w:r>
      <w:r>
        <w:rPr>
          <w:rFonts w:ascii="Times New Roman;serif" w:hAnsi="Times New Roman;serif"/>
          <w:b w:val="false"/>
          <w:i w:val="false"/>
          <w:caps w:val="false"/>
          <w:smallCaps w:val="false"/>
          <w:sz w:val="20"/>
        </w:rPr>
        <w:t xml:space="preserve">; however we do not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anticipate these fees to be a significant component of Consolidated revenue as these fees are predominately earned by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Affiliates accounted for under the equity method.</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Aggregate fees were </w:t>
      </w:r>
      <w:r>
        <w:rPr>
          <w:rFonts w:ascii="Times New Roman;serif" w:hAnsi="Times New Roman;serif"/>
          <w:b w:val="false"/>
          <w:i w:val="false"/>
          <w:caps w:val="false"/>
          <w:smallCaps w:val="false"/>
          <w:strike w:val="false"/>
          <w:dstrike w:val="false"/>
          <w:sz w:val="20"/>
          <w:u w:val="none"/>
          <w:effect w:val="none"/>
        </w:rPr>
        <w:t>$6,167.5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an </w:t>
      </w:r>
      <w:r>
        <w:rPr>
          <w:rFonts w:ascii="Times New Roman;serif" w:hAnsi="Times New Roman;serif"/>
          <w:b w:val="false"/>
          <w:i w:val="false"/>
          <w:caps w:val="false"/>
          <w:smallCaps w:val="false"/>
          <w:strike w:val="false"/>
          <w:dstrike w:val="false"/>
          <w:sz w:val="20"/>
          <w:u w:val="none"/>
          <w:effect w:val="none"/>
        </w:rPr>
        <w:t>increase</w:t>
      </w:r>
      <w:r>
        <w:rPr>
          <w:caps w:val="false"/>
          <w:smallCaps w:val="false"/>
          <w:sz w:val="24"/>
        </w:rPr>
        <w:t xml:space="preserve"> </w:t>
      </w:r>
      <w:r>
        <w:rPr>
          <w:rFonts w:ascii="Times New Roman;serif" w:hAnsi="Times New Roman;serif"/>
          <w:b w:val="false"/>
          <w:i w:val="false"/>
          <w:caps w:val="false"/>
          <w:smallCaps w:val="false"/>
          <w:sz w:val="20"/>
        </w:rPr>
        <w:t xml:space="preserve">of </w:t>
      </w:r>
      <w:r>
        <w:rPr>
          <w:rFonts w:ascii="Times New Roman;serif" w:hAnsi="Times New Roman;serif"/>
          <w:b w:val="false"/>
          <w:i w:val="false"/>
          <w:caps w:val="false"/>
          <w:smallCaps w:val="false"/>
          <w:strike w:val="false"/>
          <w:dstrike w:val="false"/>
          <w:sz w:val="20"/>
          <w:u w:val="none"/>
          <w:effect w:val="none"/>
        </w:rPr>
        <w:t>$931.5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18%</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The </w:t>
      </w:r>
      <w:r>
        <w:rPr>
          <w:rFonts w:ascii="Times New Roman;serif" w:hAnsi="Times New Roman;serif"/>
          <w:b w:val="false"/>
          <w:i w:val="false"/>
          <w:caps w:val="false"/>
          <w:smallCaps w:val="false"/>
          <w:strike w:val="false"/>
          <w:dstrike w:val="false"/>
          <w:sz w:val="20"/>
          <w:u w:val="none"/>
          <w:effect w:val="none"/>
        </w:rPr>
        <w:t xml:space="preserve">increase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aggregate fees was due to a $660.2 million or 13% increase from asset-based fees and a $271.3 million or 5% increase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performance-based fees, primarily in liquid alternative strategies.  The increase in asset-based fees was principally due to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increase in our Affiliates’ average assets under management, primarily in liquid alternative and private markets strategies,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changes in the composition of our assets under management, including net client cash flows from our Affiliates managing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alternative strategies, which typically have higher fee rates and the impact of our investments in new Affiliates primarily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managing alternative strategies.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Financial and Supplemental Financial Performance Measures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key financial and supplemental financial performance measures:</w:t>
      </w:r>
    </w:p>
    <w:tbl>
      <w:tblPr>
        <w:tblW w:w="9686" w:type="dxa"/>
        <w:jc w:val="left"/>
        <w:tblInd w:w="0" w:type="dxa"/>
        <w:tblLayout w:type="fixed"/>
        <w:tblCellMar>
          <w:top w:w="28" w:type="dxa"/>
          <w:left w:w="28" w:type="dxa"/>
          <w:bottom w:w="28" w:type="dxa"/>
          <w:right w:w="28" w:type="dxa"/>
        </w:tblCellMar>
      </w:tblPr>
      <w:tblGrid>
        <w:gridCol w:w="5281"/>
        <w:gridCol w:w="109"/>
        <w:gridCol w:w="676"/>
        <w:gridCol w:w="109"/>
        <w:gridCol w:w="676"/>
        <w:gridCol w:w="109"/>
        <w:gridCol w:w="871"/>
        <w:gridCol w:w="109"/>
        <w:gridCol w:w="721"/>
        <w:gridCol w:w="109"/>
        <w:gridCol w:w="916"/>
      </w:tblGrid>
      <w:tr>
        <w:trPr/>
        <w:tc>
          <w:tcPr>
            <w:tcW w:w="5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28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2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52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r>
        <w:trPr/>
        <w:tc>
          <w:tcPr>
            <w:tcW w:w="52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Adjusted EBITDA (controlling interest)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52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Economic net income (controlling interest)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 xml:space="preserve">Adjusted EBITDA (controlling interest) and Economic net income (controlling interest) are non-GAAP performance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measures and are discussed in “Supplemental Financial Performance Measures.”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Net income (controlling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$205.0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40%</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This increase was primarily due to $371.3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million of Affiliate transaction gains and a $150.2 million increase in Equity method income (net).  These increases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partially offset by a $97.4 million increase in Income tax expense attributable to the controlling interest, primarily due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 transaction gains, a $97.1 million increase in Intangible amortization and impairments attributable to the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 and a $91.2 million increase in Affiliate equity expense attributable to the controlling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EBITDA (controlling interest) is an important supplemental financial performance measure for management as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provides a comprehensive view of our share of the financial performance of our business.  Adjusted EBITDA (controlling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$103.7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11%</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 $931.5 million or 18% increase in aggregate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EBITDA (controlling interest) increased less than aggregate fees on a percentage basis primarily due to an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earnings at certain Affiliates, many of which manage alternative strategies and are accounted for under the equity method,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therefore we own less of an economic 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believe Economic net income (controlling interest) is an important supplemental financial performance measure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it represents our performance before non-cash expenses primarily related to our acquisition of interests in Affiliates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improves comparability of performance between periods.  Economic net income (controlling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$67.7 million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10%</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 </w:t>
      </w:r>
      <w:r>
        <w:rPr>
          <w:rFonts w:ascii="Times New Roman;serif" w:hAnsi="Times New Roman;serif"/>
          <w:b w:val="false"/>
          <w:i w:val="false"/>
          <w:caps w:val="false"/>
          <w:smallCaps w:val="false"/>
          <w:strike w:val="false"/>
          <w:dstrike w:val="false"/>
          <w:sz w:val="20"/>
          <w:u w:val="none"/>
          <w:effect w:val="none"/>
        </w:rPr>
        <w:t>$103.7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11%</w:t>
      </w:r>
      <w:r>
        <w:rPr>
          <w:caps w:val="false"/>
          <w:smallCaps w:val="false"/>
          <w:sz w:val="24"/>
        </w:rPr>
        <w:t xml:space="preserve"> </w:t>
      </w:r>
      <w:r>
        <w:rPr>
          <w:rFonts w:ascii="Times New Roman;serif" w:hAnsi="Times New Roman;serif"/>
          <w:b w:val="false"/>
          <w:i w:val="false"/>
          <w:caps w:val="false"/>
          <w:smallCaps w:val="false"/>
          <w:sz w:val="20"/>
        </w:rPr>
        <w:t>increase in Adjusted EBITDA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Results of Operations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discussion includes the key operating performance measures and financial results of our consolidated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method Affiliates.  Our consolidated Affiliates’ financial results are included in Consolidated revenue,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and Investment and other income, and our share of our equity method Affiliates’ financial results is reported, net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intangible amortization and impairments and tax, in Equity method income (net) in our Consolidated Statements of Income.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Consolidated Revenue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revenue is derived primarily from asset-based fees from investment management services earned by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consolidated Affiliates.  For these Affiliates, we typically use operating structures where we contractually share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revenue without regard to expenses.  Consolidated revenue is generally determined by the level of our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Affiliates’ average assets under management and the composition of these assets across our consolidated Affiliates’ investment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strategies with different asset-based fee ratios and performance-based fees.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consolidated Affiliates’ average assets under management and Consolidated revenue:</w:t>
      </w:r>
    </w:p>
    <w:tbl>
      <w:tblPr>
        <w:tblW w:w="9881" w:type="dxa"/>
        <w:jc w:val="left"/>
        <w:tblInd w:w="0" w:type="dxa"/>
        <w:tblLayout w:type="fixed"/>
        <w:tblCellMar>
          <w:top w:w="28" w:type="dxa"/>
          <w:left w:w="28" w:type="dxa"/>
          <w:bottom w:w="28" w:type="dxa"/>
          <w:right w:w="28" w:type="dxa"/>
        </w:tblCellMar>
      </w:tblPr>
      <w:tblGrid>
        <w:gridCol w:w="5071"/>
        <w:gridCol w:w="109"/>
        <w:gridCol w:w="826"/>
        <w:gridCol w:w="109"/>
        <w:gridCol w:w="826"/>
        <w:gridCol w:w="109"/>
        <w:gridCol w:w="871"/>
        <w:gridCol w:w="109"/>
        <w:gridCol w:w="826"/>
        <w:gridCol w:w="109"/>
        <w:gridCol w:w="916"/>
      </w:tblGrid>
      <w:tr>
        <w:trPr/>
        <w:tc>
          <w:tcPr>
            <w:tcW w:w="5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071" w:type="dxa"/>
            <w:tcBorders/>
            <w:vAlign w:val="center"/>
          </w:tcPr>
          <w:p>
            <w:pPr>
              <w:pStyle w:val="TableContents"/>
              <w:bidi w:val="0"/>
              <w:spacing w:lineRule="atLeast" w:line="22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7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07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0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Consolidated Affiliate average assets under management (in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r>
      <w:tr>
        <w:trPr/>
        <w:tc>
          <w:tcPr>
            <w:tcW w:w="507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Consolidated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revenue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$33.5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due to a $26.1 million or 1% increase from asset-based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a $7.4 million or 1% increase from performance-based fees, primarily in private markets strategies.  The increase in asset-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fees was principally due to an increase in our consolidated Affiliates’ average assets under management, primarily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private markets strategies, partially offset by changes in the composition of our assets under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Consolidated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Consolidated expenses:</w:t>
      </w:r>
    </w:p>
    <w:tbl>
      <w:tblPr>
        <w:tblW w:w="10061" w:type="dxa"/>
        <w:jc w:val="left"/>
        <w:tblInd w:w="0" w:type="dxa"/>
        <w:tblLayout w:type="fixed"/>
        <w:tblCellMar>
          <w:top w:w="28" w:type="dxa"/>
          <w:left w:w="28" w:type="dxa"/>
          <w:bottom w:w="28" w:type="dxa"/>
          <w:right w:w="28" w:type="dxa"/>
        </w:tblCellMar>
      </w:tblPr>
      <w:tblGrid>
        <w:gridCol w:w="5251"/>
        <w:gridCol w:w="109"/>
        <w:gridCol w:w="826"/>
        <w:gridCol w:w="109"/>
        <w:gridCol w:w="826"/>
        <w:gridCol w:w="109"/>
        <w:gridCol w:w="871"/>
        <w:gridCol w:w="109"/>
        <w:gridCol w:w="826"/>
        <w:gridCol w:w="109"/>
        <w:gridCol w:w="916"/>
      </w:tblGrid>
      <w:tr>
        <w:trPr/>
        <w:tc>
          <w:tcPr>
            <w:tcW w:w="5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25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Compensation and related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$907.5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Depreciation and other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52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expenses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r>
      <w:tr>
        <w:trPr/>
        <w:tc>
          <w:tcPr>
            <w:tcW w:w="52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consolidated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$1,805.4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Percent change is not meaningful.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Compensation and related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$104.5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11%</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an $83.9 million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Affiliate equity-related activities and a $7.2 million increase in share-based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Selling, general and administrative expenses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$32.1 million</w:t>
      </w:r>
      <w:r>
        <w:rPr>
          <w:caps w:val="false"/>
          <w:smallCaps w:val="false"/>
          <w:sz w:val="24"/>
        </w:rPr>
        <w:t>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9%</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 $23.8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increase in professional fees and an $8.5 million increase in investment-related expenses driven by an increase 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average assets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under management</w:t>
      </w:r>
      <w:r>
        <w:rPr>
          <w:caps w:val="false"/>
          <w:smallCaps w:val="false"/>
          <w:sz w:val="24"/>
        </w:rPr>
        <w:t xml:space="preserve"> </w:t>
      </w:r>
      <w:r>
        <w:rPr>
          <w:rFonts w:ascii="Times New Roman;serif" w:hAnsi="Times New Roman;serif"/>
          <w:b w:val="false"/>
          <w:i w:val="false"/>
          <w:caps w:val="false"/>
          <w:smallCaps w:val="false"/>
          <w:sz w:val="20"/>
        </w:rPr>
        <w:t xml:space="preserve">on which these expenses are incurred.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Intangible amortization and impairments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$131.3 million</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expenses of $135.0 million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reduce the carrying value of indefinite-lived acquired client relationships for certain mutual fund assets to fair value.  This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was partially offset by a $3.7 million decrease in amortization expense due to certain definite-lived assets being fully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amortized.</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Interest expense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$3.2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 $14.4 million increase from our 5.50% senior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unsecured notes issued in August 2024 (the “2034 senior notes”), a $6.7 million increase from our 6.75% junior subordinated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notes issued in March 2024 (the “2064 junior subordinated notes”), and a $3.6 million increase from borrowings under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senior unsecured multicurrency revolving credit facility (the “revolver”).  These increases were partially offset by a $13.0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million decrease due to the repayment of our senior unsecured term loan facility in the third quarter of 2024, a $5.3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decrease due to the maturity of our </w:t>
      </w:r>
      <w:r>
        <w:rPr>
          <w:rFonts w:ascii="Times New Roman;serif" w:hAnsi="Times New Roman;serif"/>
          <w:b w:val="false"/>
          <w:i w:val="false"/>
          <w:caps w:val="false"/>
          <w:smallCaps w:val="false"/>
          <w:strike w:val="false"/>
          <w:dstrike w:val="false"/>
          <w:sz w:val="20"/>
          <w:u w:val="none"/>
          <w:effect w:val="none"/>
        </w:rPr>
        <w:t>3.50% senior notes in August 2025</w:t>
      </w:r>
      <w:r>
        <w:rPr>
          <w:rFonts w:ascii="Times New Roman;serif" w:hAnsi="Times New Roman;serif"/>
          <w:b w:val="false"/>
          <w:i w:val="false"/>
          <w:caps w:val="false"/>
          <w:smallCaps w:val="false"/>
          <w:sz w:val="20"/>
        </w:rPr>
        <w:t xml:space="preserve">, and a $2.2 million decrease due to the maturity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4.25% senior notes in February 2024.</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There were no significant changes to Depreciation and other amortization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w:t>
      </w:r>
      <w:r>
        <w:rPr>
          <w:rFonts w:ascii="Times New Roman;serif" w:hAnsi="Times New Roman;serif"/>
          <w:b w:val="false"/>
          <w:i w:val="false"/>
          <w:caps w:val="false"/>
          <w:smallCaps w:val="false"/>
          <w:sz w:val="20"/>
        </w:rPr>
        <w:t xml:space="preserve">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Other expenses (net)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$29.5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73%</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 $9.2 million increase in expenses related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the settlement of conversions with respect to our junior convertible securities (see Note 5)</w:t>
      </w:r>
      <w:r>
        <w:rPr>
          <w:caps w:val="false"/>
          <w:smallCaps w:val="false"/>
          <w:sz w:val="24"/>
        </w:rPr>
        <w:t xml:space="preserve"> </w:t>
      </w:r>
      <w:r>
        <w:rPr>
          <w:rFonts w:ascii="Times New Roman;serif" w:hAnsi="Times New Roman;serif"/>
          <w:b w:val="false"/>
          <w:i w:val="false"/>
          <w:caps w:val="false"/>
          <w:smallCaps w:val="false"/>
          <w:sz w:val="20"/>
        </w:rPr>
        <w:t xml:space="preserve">and an $8.2 million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expenses related to changes in the values of contingent payment obligations.</w:t>
      </w:r>
    </w:p>
    <w:p>
      <w:pPr>
        <w:pStyle w:val="TextBody"/>
        <w:bidi w:val="0"/>
        <w:spacing w:lineRule="atLeast" w:line="200" w:before="0" w:after="0"/>
        <w:jc w:val="left"/>
        <w:rPr/>
      </w:pPr>
      <w:r>
        <w:rPr>
          <w:rFonts w:ascii="Times New Roman;serif" w:hAnsi="Times New Roman;serif"/>
          <w:b w:val="false"/>
          <w:i/>
          <w:sz w:val="20"/>
          <w:u w:val="single"/>
        </w:rPr>
        <w:t>Equity Method Income (Net)</w:t>
      </w:r>
      <w:r>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When we do not own a controlling equity interest in an Affiliate, but have significant influence, we account for our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Affiliate under the equity method.  Our share of pre-tax earnings or losses from Affiliates accounted for under the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method (“pre-tax equity method earnings”), net of</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intangible amortization and impairments and tax</w:t>
      </w:r>
      <w:r>
        <w:rPr>
          <w:rFonts w:ascii="Times New Roman;serif" w:hAnsi="Times New Roman;serif"/>
          <w:b w:val="false"/>
          <w:i w:val="false"/>
          <w:caps w:val="false"/>
          <w:smallCaps w:val="false"/>
          <w:sz w:val="20"/>
        </w:rPr>
        <w:t xml:space="preserve">, is included in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 income (net).  For certain of our Affiliates accounted for under the equity method, we report the Affiliate’s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results in our Consolidated Financial Statements one quarter in arrears.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a majority of these Affiliates, we use operating structures where we contractually share in the Affiliate’s revenue less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agreed-upon expenses.  We also use operating structures where we contractually share in the Affiliate’s revenue without regard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expenses.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E</w:t>
      </w:r>
      <w:r>
        <w:rPr>
          <w:rFonts w:ascii="Times New Roman;serif" w:hAnsi="Times New Roman;serif"/>
          <w:b w:val="false"/>
          <w:i w:val="false"/>
          <w:caps w:val="false"/>
          <w:smallCaps w:val="false"/>
          <w:strike w:val="false"/>
          <w:dstrike w:val="false"/>
          <w:sz w:val="20"/>
          <w:u w:val="none"/>
          <w:effect w:val="none"/>
        </w:rPr>
        <w:t>quity method revenue, net</w:t>
      </w:r>
      <w:r>
        <w:rPr>
          <w:caps w:val="false"/>
          <w:smallCaps w:val="false"/>
          <w:sz w:val="24"/>
        </w:rPr>
        <w:t xml:space="preserve"> </w:t>
      </w:r>
      <w:r>
        <w:rPr>
          <w:rFonts w:ascii="Times New Roman;serif" w:hAnsi="Times New Roman;serif"/>
          <w:b w:val="false"/>
          <w:i w:val="false"/>
          <w:caps w:val="false"/>
          <w:smallCaps w:val="false"/>
          <w:sz w:val="20"/>
        </w:rPr>
        <w:t xml:space="preserve">is derived primarily from asset- and performance-based fees from investment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services earned by our equity method Affiliates, net of certain expense reimbursements paid by the underlying products.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 revenue, net is generally determined by the level of our equity method Affiliates’ average assets under management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composition of these assets across our equity method Affiliates’ investment strategies with different asset-based fee ratios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performance-based fees.  Our Affiliates accounted for under the equity method manage a greater proportion of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 to performance-based fees than our consolidated Affiliates and, as a result, equity method revenue, net will generally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have more performance-based fees than Consolidated revenue.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our equity method Affiliates’ average assets under management and equity method Affiliate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revenue, net, as well as pre-tax equity method earnings, equity method intangible amortization, equity method intangible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impairments, if any, and equity method income tax, which in aggregate form Equity method income (net):</w:t>
      </w:r>
    </w:p>
    <w:tbl>
      <w:tblPr>
        <w:tblW w:w="10076" w:type="dxa"/>
        <w:jc w:val="left"/>
        <w:tblInd w:w="0" w:type="dxa"/>
        <w:tblLayout w:type="fixed"/>
        <w:tblCellMar>
          <w:top w:w="28" w:type="dxa"/>
          <w:left w:w="28" w:type="dxa"/>
          <w:bottom w:w="28" w:type="dxa"/>
          <w:right w:w="28" w:type="dxa"/>
        </w:tblCellMar>
      </w:tblPr>
      <w:tblGrid>
        <w:gridCol w:w="5266"/>
        <w:gridCol w:w="109"/>
        <w:gridCol w:w="826"/>
        <w:gridCol w:w="109"/>
        <w:gridCol w:w="826"/>
        <w:gridCol w:w="109"/>
        <w:gridCol w:w="871"/>
        <w:gridCol w:w="109"/>
        <w:gridCol w:w="826"/>
        <w:gridCol w:w="109"/>
        <w:gridCol w:w="916"/>
      </w:tblGrid>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26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 except as noted)</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26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Operating Performance Measures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Equity method Affiliate average assets under management (in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doub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revenue,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$3,195.1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w:t>
            </w:r>
          </w:p>
        </w:tc>
      </w:tr>
      <w:tr>
        <w:trPr/>
        <w:tc>
          <w:tcPr>
            <w:tcW w:w="52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r>
      <w:tr>
        <w:trPr/>
        <w:tc>
          <w:tcPr>
            <w:tcW w:w="526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Financial Performance Measures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r>
      <w:tr>
        <w:trPr/>
        <w:tc>
          <w:tcPr>
            <w:tcW w:w="52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Pre-tax equity method earnings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$382.5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$578.1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intangible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w:t>
            </w:r>
          </w:p>
        </w:tc>
      </w:tr>
      <w:tr>
        <w:trPr/>
        <w:tc>
          <w:tcPr>
            <w:tcW w:w="52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intangible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r>
      <w:tr>
        <w:trPr/>
        <w:tc>
          <w:tcPr>
            <w:tcW w:w="52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income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r>
      <w:tr>
        <w:trPr/>
        <w:tc>
          <w:tcPr>
            <w:tcW w:w="52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income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Percent change is not meaningful.</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Equity method revenue, net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$898.0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28%</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due to a $634.1 million or 20% increase from asset-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fees and a $263.9 million or 8% increase from performance-based fees, primarily in liquid alternative strategies.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 in asset-based fees was principally due to an increase in our equity method Affiliates’ average assets under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primarily in liquid alternative strategies, and changes in the composition of our assets under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net client cash flows from our equity method Affiliates managing alternative strategies, which typically have higher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fee rates and the impact of our investments in new Affiliates primarily managing alternative strategies.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Pre-tax equity method earnings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$122.4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27%</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an </w:t>
      </w:r>
      <w:r>
        <w:rPr>
          <w:rFonts w:ascii="Times New Roman;serif" w:hAnsi="Times New Roman;serif"/>
          <w:b w:val="false"/>
          <w:i w:val="false"/>
          <w:caps w:val="false"/>
          <w:smallCaps w:val="false"/>
          <w:strike w:val="false"/>
          <w:dstrike w:val="false"/>
          <w:sz w:val="20"/>
          <w:u w:val="none"/>
          <w:effect w:val="none"/>
        </w:rPr>
        <w:t>$898.0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28%</w:t>
      </w:r>
      <w:r>
        <w:rPr>
          <w:caps w:val="false"/>
          <w:smallCaps w:val="false"/>
          <w:sz w:val="24"/>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 in equity method revenue,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Equity method intangible amortization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$8.0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9%</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 $17.6 million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expense due to investments in new Affiliates.  This increase was partially offset by a $4.6 million decrease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expense related to certain definite-lived assets being fully amortized and a $3.9 million decrease in amortization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expense due to a decrease in actual and expected client attrition for certain definite-lived acquired client relationships.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 ended December 31, 2024, we recorded a $39.9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impairment on equity method investments.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 ended December 31, 2025, no equity method intangible impairments were recorded.  See Note 8 of our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 Transaction Gains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Affiliate transaction gains:</w:t>
      </w:r>
    </w:p>
    <w:tbl>
      <w:tblPr>
        <w:tblW w:w="9266" w:type="dxa"/>
        <w:jc w:val="left"/>
        <w:tblInd w:w="0" w:type="dxa"/>
        <w:tblLayout w:type="fixed"/>
        <w:tblCellMar>
          <w:top w:w="28" w:type="dxa"/>
          <w:left w:w="28" w:type="dxa"/>
          <w:bottom w:w="28" w:type="dxa"/>
          <w:right w:w="28" w:type="dxa"/>
        </w:tblCellMar>
      </w:tblPr>
      <w:tblGrid>
        <w:gridCol w:w="5116"/>
        <w:gridCol w:w="109"/>
        <w:gridCol w:w="676"/>
        <w:gridCol w:w="109"/>
        <w:gridCol w:w="466"/>
        <w:gridCol w:w="109"/>
        <w:gridCol w:w="871"/>
        <w:gridCol w:w="109"/>
        <w:gridCol w:w="676"/>
        <w:gridCol w:w="109"/>
        <w:gridCol w:w="916"/>
      </w:tblGrid>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11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1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Affiliate transaction gains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z w:val="20"/>
              </w:rPr>
              <w:t>N.M.</w:t>
            </w:r>
            <w:r>
              <w:rPr>
                <w:rFonts w:ascii="Times New Roman;serif" w:hAnsi="Times New Roman;serif"/>
                <w:b w:val="false"/>
                <w:i w:val="false"/>
                <w:caps w:val="false"/>
                <w:smallCaps w:val="false"/>
                <w:sz w:val="10"/>
              </w:rPr>
              <w:t>(1)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P</w:t>
      </w:r>
      <w:r>
        <w:rPr>
          <w:rFonts w:ascii="Times New Roman;serif" w:hAnsi="Times New Roman;serif"/>
          <w:b w:val="false"/>
          <w:i w:val="false"/>
          <w:caps w:val="false"/>
          <w:smallCaps w:val="false"/>
          <w:strike w:val="false"/>
          <w:dstrike w:val="false"/>
          <w:sz w:val="20"/>
          <w:u w:val="none"/>
          <w:effect w:val="none"/>
        </w:rPr>
        <w:t>e</w:t>
      </w:r>
      <w:r>
        <w:rPr>
          <w:rFonts w:ascii="Times New Roman;serif" w:hAnsi="Times New Roman;serif"/>
          <w:b w:val="false"/>
          <w:i w:val="false"/>
          <w:caps w:val="false"/>
          <w:smallCaps w:val="false"/>
          <w:sz w:val="20"/>
        </w:rPr>
        <w:t>rcent change is not meaningful.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years ended December 31,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we recorded a gain of $133.1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the sale of our equity interest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Veritable, LP (“Veritable”) (the “Veritable Transaction”), and total gains of $371.3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sale of our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interests in Peppertree, Comvest’s private credit business, and Montrusco Bolton, respectively.  See Notes 7 and 8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Investment and Other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Investment and other income:</w:t>
      </w:r>
    </w:p>
    <w:tbl>
      <w:tblPr>
        <w:tblW w:w="9251" w:type="dxa"/>
        <w:jc w:val="left"/>
        <w:tblInd w:w="0" w:type="dxa"/>
        <w:tblLayout w:type="fixed"/>
        <w:tblCellMar>
          <w:top w:w="28" w:type="dxa"/>
          <w:left w:w="28" w:type="dxa"/>
          <w:bottom w:w="28" w:type="dxa"/>
          <w:right w:w="28" w:type="dxa"/>
        </w:tblCellMar>
      </w:tblPr>
      <w:tblGrid>
        <w:gridCol w:w="5101"/>
        <w:gridCol w:w="109"/>
        <w:gridCol w:w="676"/>
        <w:gridCol w:w="109"/>
        <w:gridCol w:w="571"/>
        <w:gridCol w:w="109"/>
        <w:gridCol w:w="871"/>
        <w:gridCol w:w="109"/>
        <w:gridCol w:w="571"/>
        <w:gridCol w:w="109"/>
        <w:gridCol w:w="916"/>
      </w:tblGrid>
      <w:tr>
        <w:trPr/>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10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1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 and other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Investment and other income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$5.7 million</w:t>
      </w:r>
      <w:r>
        <w:rPr>
          <w:caps w:val="false"/>
          <w:smallCaps w:val="false"/>
          <w:sz w:val="24"/>
        </w:rPr>
        <w:t>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7%</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increases in net realized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unrealized gains on other investments and marketable securities of $17.4 million and $5.8 million, respectively.  These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increases were partially offset by a $16.6 million decrease in interest income.</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 xml:space="preserve">Income Tax Expense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our Income tax expense:</w:t>
      </w:r>
    </w:p>
    <w:tbl>
      <w:tblPr>
        <w:tblW w:w="9341" w:type="dxa"/>
        <w:jc w:val="left"/>
        <w:tblInd w:w="0" w:type="dxa"/>
        <w:tblLayout w:type="fixed"/>
        <w:tblCellMar>
          <w:top w:w="28" w:type="dxa"/>
          <w:left w:w="28" w:type="dxa"/>
          <w:bottom w:w="28" w:type="dxa"/>
          <w:right w:w="28" w:type="dxa"/>
        </w:tblCellMar>
      </w:tblPr>
      <w:tblGrid>
        <w:gridCol w:w="4981"/>
        <w:gridCol w:w="109"/>
        <w:gridCol w:w="676"/>
        <w:gridCol w:w="109"/>
        <w:gridCol w:w="676"/>
        <w:gridCol w:w="109"/>
        <w:gridCol w:w="871"/>
        <w:gridCol w:w="109"/>
        <w:gridCol w:w="676"/>
        <w:gridCol w:w="109"/>
        <w:gridCol w:w="916"/>
      </w:tblGrid>
      <w:tr>
        <w:trPr/>
        <w:tc>
          <w:tcPr>
            <w:tcW w:w="4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4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498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49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consolidated income tax provision includes taxes attributable to the controlling interest and, to a lesser extent, taxes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attributable to the non-controlling interests.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Income tax expense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$99.7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55%</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Our effective tax rate (controlling interest) for the year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December 31, 2025 was </w:t>
      </w:r>
      <w:r>
        <w:rPr>
          <w:rFonts w:ascii="Times New Roman;serif" w:hAnsi="Times New Roman;serif"/>
          <w:b w:val="false"/>
          <w:i w:val="false"/>
          <w:caps w:val="false"/>
          <w:smallCaps w:val="false"/>
          <w:strike w:val="false"/>
          <w:dstrike w:val="false"/>
          <w:sz w:val="20"/>
          <w:u w:val="none"/>
          <w:effect w:val="none"/>
        </w:rPr>
        <w:t>27.5%</w:t>
      </w:r>
      <w:r>
        <w:rPr>
          <w:caps w:val="false"/>
          <w:smallCaps w:val="false"/>
          <w:sz w:val="24"/>
        </w:rPr>
        <w:t xml:space="preserve"> </w:t>
      </w:r>
      <w:r>
        <w:rPr>
          <w:rFonts w:ascii="Times New Roman;serif" w:hAnsi="Times New Roman;serif"/>
          <w:b w:val="false"/>
          <w:i w:val="false"/>
          <w:caps w:val="false"/>
          <w:smallCaps w:val="false"/>
          <w:sz w:val="20"/>
        </w:rPr>
        <w:t xml:space="preserve">as compared to </w:t>
      </w:r>
      <w:r>
        <w:rPr>
          <w:rFonts w:ascii="Times New Roman;serif" w:hAnsi="Times New Roman;serif"/>
          <w:b w:val="false"/>
          <w:i w:val="false"/>
          <w:caps w:val="false"/>
          <w:smallCaps w:val="false"/>
          <w:strike w:val="false"/>
          <w:dstrike w:val="false"/>
          <w:sz w:val="20"/>
          <w:u w:val="none"/>
          <w:effect w:val="none"/>
        </w:rPr>
        <w:t>25.5%</w:t>
      </w:r>
      <w:r>
        <w:rPr>
          <w:caps w:val="false"/>
          <w:smallCaps w:val="false"/>
          <w:sz w:val="24"/>
        </w:rPr>
        <w:t xml:space="preserve"> </w:t>
      </w:r>
      <w:r>
        <w:rPr>
          <w:rFonts w:ascii="Times New Roman;serif" w:hAnsi="Times New Roman;serif"/>
          <w:b w:val="false"/>
          <w:i w:val="false"/>
          <w:caps w:val="false"/>
          <w:smallCaps w:val="false"/>
          <w:sz w:val="20"/>
        </w:rPr>
        <w:t xml:space="preserve">for the year ended December 31, 2024.  The increase in the effective tax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rate (controlling interest) was primarily due to unrecognized tax benefits and n</w:t>
      </w:r>
      <w:r>
        <w:rPr>
          <w:rFonts w:ascii="Times New Roman;serif" w:hAnsi="Times New Roman;serif"/>
          <w:b w:val="false"/>
          <w:i w:val="false"/>
          <w:caps w:val="false"/>
          <w:smallCaps w:val="false"/>
          <w:strike w:val="false"/>
          <w:dstrike w:val="false"/>
          <w:sz w:val="20"/>
          <w:u w:val="none"/>
          <w:effect w:val="none"/>
        </w:rPr>
        <w:t>on-deductible compensation expense</w:t>
      </w:r>
      <w:r>
        <w:rPr>
          <w:rFonts w:ascii="Times New Roman;serif" w:hAnsi="Times New Roman;serif"/>
          <w:b w:val="false"/>
          <w:i w:val="false"/>
          <w:caps w:val="false"/>
          <w:smallCaps w:val="false"/>
          <w:sz w:val="20"/>
        </w:rPr>
        <w:t xml:space="preserve">, partially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offset by higher tax windfalls attributable to share-based compensation for the year ended December 31, 2025.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Net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Net income, Net income (non-controlling interests), and Net income (controlling interest):</w:t>
      </w:r>
    </w:p>
    <w:tbl>
      <w:tblPr>
        <w:tblW w:w="9581" w:type="dxa"/>
        <w:jc w:val="left"/>
        <w:tblInd w:w="0" w:type="dxa"/>
        <w:tblLayout w:type="fixed"/>
        <w:tblCellMar>
          <w:top w:w="28" w:type="dxa"/>
          <w:left w:w="28" w:type="dxa"/>
          <w:bottom w:w="28" w:type="dxa"/>
          <w:right w:w="28" w:type="dxa"/>
        </w:tblCellMar>
      </w:tblPr>
      <w:tblGrid>
        <w:gridCol w:w="5221"/>
        <w:gridCol w:w="109"/>
        <w:gridCol w:w="676"/>
        <w:gridCol w:w="109"/>
        <w:gridCol w:w="676"/>
        <w:gridCol w:w="109"/>
        <w:gridCol w:w="871"/>
        <w:gridCol w:w="109"/>
        <w:gridCol w:w="676"/>
        <w:gridCol w:w="109"/>
        <w:gridCol w:w="916"/>
      </w:tblGrid>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r>
      <w:tr>
        <w:trPr/>
        <w:tc>
          <w:tcPr>
            <w:tcW w:w="5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1"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22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Change</w:t>
            </w:r>
          </w:p>
        </w:tc>
      </w:tr>
      <w:tr>
        <w:trPr/>
        <w:tc>
          <w:tcPr>
            <w:tcW w:w="52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r>
      <w:tr>
        <w:trPr/>
        <w:tc>
          <w:tcPr>
            <w:tcW w:w="52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r>
      <w:tr>
        <w:trPr/>
        <w:tc>
          <w:tcPr>
            <w:tcW w:w="52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Net income (controlling interest) </w:t>
      </w:r>
      <w:r>
        <w:rPr>
          <w:rFonts w:ascii="Times New Roman;serif" w:hAnsi="Times New Roman;serif"/>
          <w:b w:val="false"/>
          <w:i w:val="false"/>
          <w:caps w:val="false"/>
          <w:smallCaps w:val="false"/>
          <w:strike w:val="false"/>
          <w:dstrike w:val="false"/>
          <w:sz w:val="20"/>
          <w:u w:val="none"/>
          <w:effect w:val="none"/>
        </w:rPr>
        <w:t>increased</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$205.0 million</w:t>
      </w:r>
      <w:r>
        <w:rPr>
          <w:caps w:val="false"/>
          <w:smallCaps w:val="false"/>
          <w:sz w:val="24"/>
        </w:rPr>
        <w:t xml:space="preserve"> </w:t>
      </w:r>
      <w:r>
        <w:rPr>
          <w:rFonts w:ascii="Times New Roman;serif" w:hAnsi="Times New Roman;serif"/>
          <w:b w:val="false"/>
          <w:i w:val="false"/>
          <w:caps w:val="false"/>
          <w:smallCaps w:val="false"/>
          <w:sz w:val="20"/>
        </w:rPr>
        <w:t xml:space="preserve">or </w:t>
      </w:r>
      <w:r>
        <w:rPr>
          <w:rFonts w:ascii="Times New Roman;serif" w:hAnsi="Times New Roman;serif"/>
          <w:b w:val="false"/>
          <w:i w:val="false"/>
          <w:caps w:val="false"/>
          <w:smallCaps w:val="false"/>
          <w:strike w:val="false"/>
          <w:dstrike w:val="false"/>
          <w:sz w:val="20"/>
          <w:u w:val="none"/>
          <w:effect w:val="none"/>
        </w:rPr>
        <w:t>40%</w:t>
      </w:r>
      <w:r>
        <w:rPr>
          <w:caps w:val="false"/>
          <w:smallCaps w:val="false"/>
          <w:sz w:val="24"/>
        </w:rPr>
        <w:t xml:space="preserve"> </w:t>
      </w:r>
      <w:r>
        <w:rPr>
          <w:rFonts w:ascii="Times New Roman;serif" w:hAnsi="Times New Roman;serif"/>
          <w:b w:val="false"/>
          <w:i w:val="false"/>
          <w:caps w:val="false"/>
          <w:smallCaps w:val="false"/>
          <w:sz w:val="20"/>
        </w:rPr>
        <w:t xml:space="preserve">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primarily due to Affiliate transaction gains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increase in Equity method income (net).  These increases to Net income (controlling interest) were partially offset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increases in Income tax expense attributable to the controlling interest, primarily due to Affiliate transaction gains, Intangible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amortization and impairments attributable to the controlling interest, and Affiliate equity expense attributable to the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Supplemental Financial Performance Measures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supplemental information to our GAAP performance measures, including Net income (see Note 21 of our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we provide non-GAAP performance measures of Adjusted EBITDA (controlling interest), Economic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income (controlling interest), and Economic earnings per share.  We believe that many investors use our Adjusted EBITDA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(controlling interest) when comparing our financial performance to other companies in the investment management industry.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utilizes these non-GAAP performance measures to assess our performance before our share of certain non-cash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GAAP expenses primarily related to the acquisition of interests in Affiliates and to improve comparability between periods.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net income (controlling interest) and Economic earnings per share are used by management and our Board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Directors as our principal performance benchmarks, including as </w:t>
      </w:r>
      <w:r>
        <w:rPr>
          <w:rFonts w:ascii="Times New Roman;serif" w:hAnsi="Times New Roman;serif"/>
          <w:b w:val="false"/>
          <w:i w:val="false"/>
          <w:caps w:val="false"/>
          <w:smallCaps w:val="false"/>
          <w:strike w:val="false"/>
          <w:dstrike w:val="false"/>
          <w:sz w:val="20"/>
          <w:u w:val="none"/>
          <w:effect w:val="none"/>
        </w:rPr>
        <w:t>one of the</w:t>
      </w:r>
      <w:r>
        <w:rPr>
          <w:caps w:val="false"/>
          <w:smallCaps w:val="false"/>
          <w:sz w:val="24"/>
        </w:rPr>
        <w:t xml:space="preserve"> </w:t>
      </w:r>
      <w:r>
        <w:rPr>
          <w:rFonts w:ascii="Times New Roman;serif" w:hAnsi="Times New Roman;serif"/>
          <w:b w:val="false"/>
          <w:i w:val="false"/>
          <w:caps w:val="false"/>
          <w:smallCaps w:val="false"/>
          <w:sz w:val="20"/>
        </w:rPr>
        <w:t xml:space="preserve">measures for determining executive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non-GAAP performance measures are provided in addition to, but not as a substitute for, Net income, Net income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(controlling interest), Earnings per share, or other GAAP performance measures.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Adjusted EBITDA (controlling 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Adjusted EBITDA (controlling interest) represents our performance before our share of interest expense, income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non-income based taxes, depreciation, amortization, impairments, gains and losses related to Affiliate transactions,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non-cash items such as certain Affiliate equity-related activities, gains and losses on our contingent payment obligations,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unrealized gains and losses on seed capital, general partner commitments, and other strategic investments.  Adjusted EBITDA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(controlling interest) is also adjusted to include realized economic gains and losses related to these seed capital, general partner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commitments, and other strategic investments.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a reconciliation of Net income (controlling interest) to Adjusted EBITDA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w:t>
      </w:r>
    </w:p>
    <w:tbl>
      <w:tblPr>
        <w:tblW w:w="9739" w:type="dxa"/>
        <w:jc w:val="left"/>
        <w:tblInd w:w="0" w:type="dxa"/>
        <w:tblLayout w:type="fixed"/>
        <w:tblCellMar>
          <w:top w:w="28" w:type="dxa"/>
          <w:left w:w="28" w:type="dxa"/>
          <w:bottom w:w="28" w:type="dxa"/>
          <w:right w:w="28" w:type="dxa"/>
        </w:tblCellMar>
      </w:tblPr>
      <w:tblGrid>
        <w:gridCol w:w="6946"/>
        <w:gridCol w:w="109"/>
        <w:gridCol w:w="755"/>
        <w:gridCol w:w="119"/>
        <w:gridCol w:w="739"/>
        <w:gridCol w:w="119"/>
        <w:gridCol w:w="952"/>
      </w:tblGrid>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94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1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123.8</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133.3</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95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136.3</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Income taxes</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185.2</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3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187.9</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289.3</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Intangible amortization and impairments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128.5</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149.2</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95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214.4</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Affiliate transactions</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39"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(377.5)</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items</w:t>
            </w:r>
            <w:r>
              <w:rPr>
                <w:rFonts w:ascii="Times New Roman;serif" w:hAnsi="Times New Roman;serif"/>
                <w:b w:val="false"/>
                <w:i w:val="false"/>
                <w:caps w:val="false"/>
                <w:smallCaps w:val="false"/>
                <w:strike w:val="false"/>
                <w:dstrike w:val="false"/>
                <w:sz w:val="10"/>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(8.9)</w:t>
            </w:r>
          </w:p>
        </w:tc>
        <w:tc>
          <w:tcPr>
            <w:tcW w:w="119" w:type="dxa"/>
            <w:tcBorders/>
            <w:shd w:fill="FFFFFF" w:val="clear"/>
            <w:vAlign w:val="center"/>
          </w:tcPr>
          <w:p>
            <w:pPr>
              <w:pStyle w:val="TableContents"/>
              <w:bidi w:val="0"/>
              <w:spacing w:before="0" w:after="283"/>
              <w:jc w:val="left"/>
              <w:rPr>
                <w:sz w:val="4"/>
                <w:szCs w:val="4"/>
              </w:rPr>
            </w:pPr>
            <w:r>
              <w:rPr>
                <w:sz w:val="4"/>
                <w:szCs w:val="4"/>
              </w:rPr>
            </w:r>
          </w:p>
        </w:tc>
        <w:tc>
          <w:tcPr>
            <w:tcW w:w="95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97.7</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Adjusted EBITDA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$935.7</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73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$973.1</w:t>
            </w:r>
          </w:p>
        </w:tc>
        <w:tc>
          <w:tcPr>
            <w:tcW w:w="119" w:type="dxa"/>
            <w:tcBorders/>
            <w:shd w:fill="CCEEFF" w:val="clear"/>
            <w:vAlign w:val="center"/>
          </w:tcPr>
          <w:p>
            <w:pPr>
              <w:pStyle w:val="TableContents"/>
              <w:bidi w:val="0"/>
              <w:spacing w:before="0" w:after="283"/>
              <w:jc w:val="left"/>
              <w:rPr>
                <w:sz w:val="4"/>
                <w:szCs w:val="4"/>
              </w:rPr>
            </w:pPr>
            <w:r>
              <w:rPr>
                <w:sz w:val="4"/>
                <w:szCs w:val="4"/>
              </w:rPr>
            </w:r>
          </w:p>
        </w:tc>
        <w:tc>
          <w:tcPr>
            <w:tcW w:w="95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$1,076.8</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Includes equity method income tax.</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Intangible amortization and impairments in our Consolidated Statements of Income include amortization attributable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non-controlling interests of our consolidated Affiliates.  For our Affiliates accounted for under the equity method, we do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separately report intangible amortization and impairments in our Consolidated Statements of Income.  Our share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Affiliates’ amortization and impairments is included in Equity method income (net).  The following table presents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Intangible amortization and impairments shown above:</w:t>
      </w:r>
    </w:p>
    <w:tbl>
      <w:tblPr>
        <w:tblW w:w="9828" w:type="dxa"/>
        <w:jc w:val="left"/>
        <w:tblInd w:w="0" w:type="dxa"/>
        <w:tblLayout w:type="fixed"/>
        <w:tblCellMar>
          <w:top w:w="28" w:type="dxa"/>
          <w:left w:w="28" w:type="dxa"/>
          <w:bottom w:w="28" w:type="dxa"/>
          <w:right w:w="28" w:type="dxa"/>
        </w:tblCellMar>
      </w:tblPr>
      <w:tblGrid>
        <w:gridCol w:w="7036"/>
        <w:gridCol w:w="109"/>
        <w:gridCol w:w="792"/>
        <w:gridCol w:w="127"/>
        <w:gridCol w:w="792"/>
        <w:gridCol w:w="127"/>
        <w:gridCol w:w="845"/>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703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Consolidated 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$160.3</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Consolidated intangible amortization and impairments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(44.0)</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130.0</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$128.5</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$149.2</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$214.4</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trike w:val="false"/>
          <w:dstrike w:val="false"/>
          <w:sz w:val="20"/>
          <w:u w:val="none"/>
          <w:effect w:val="none"/>
        </w:rPr>
        <w:t>The</w:t>
      </w:r>
      <w:r>
        <w:rPr>
          <w:caps w:val="false"/>
          <w:smallCaps w:val="false"/>
          <w:sz w:val="24"/>
        </w:rPr>
        <w:t xml:space="preserve"> </w:t>
      </w:r>
      <w:r>
        <w:rPr>
          <w:rFonts w:ascii="Times New Roman;serif" w:hAnsi="Times New Roman;serif"/>
          <w:b w:val="false"/>
          <w:i w:val="false"/>
          <w:caps w:val="false"/>
          <w:smallCaps w:val="false"/>
          <w:sz w:val="20"/>
        </w:rPr>
        <w:t xml:space="preserve">year ended December 31, 2023 includes a </w:t>
      </w:r>
      <w:r>
        <w:rPr>
          <w:rFonts w:ascii="Times New Roman;serif" w:hAnsi="Times New Roman;serif"/>
          <w:b w:val="false"/>
          <w:i w:val="false"/>
          <w:caps w:val="false"/>
          <w:smallCaps w:val="false"/>
          <w:strike w:val="false"/>
          <w:dstrike w:val="false"/>
          <w:sz w:val="20"/>
          <w:u w:val="none"/>
          <w:effect w:val="none"/>
        </w:rPr>
        <w:t>gain of $133.1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the Veritable Transaction and realized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gains of </w:t>
      </w:r>
      <w:r>
        <w:rPr>
          <w:rFonts w:ascii="Times New Roman;serif" w:hAnsi="Times New Roman;serif"/>
          <w:b w:val="false"/>
          <w:i w:val="false"/>
          <w:caps w:val="false"/>
          <w:smallCaps w:val="false"/>
          <w:strike w:val="false"/>
          <w:dstrike w:val="false"/>
          <w:sz w:val="20"/>
          <w:u w:val="none"/>
          <w:effect w:val="none"/>
        </w:rPr>
        <w:t>$29.6 million</w:t>
      </w:r>
      <w:r>
        <w:rPr>
          <w:caps w:val="false"/>
          <w:smallCaps w:val="false"/>
          <w:sz w:val="24"/>
        </w:rPr>
        <w:t xml:space="preserve"> </w:t>
      </w:r>
      <w:r>
        <w:rPr>
          <w:rFonts w:ascii="Times New Roman;serif" w:hAnsi="Times New Roman;serif"/>
          <w:b w:val="false"/>
          <w:i w:val="false"/>
          <w:caps w:val="false"/>
          <w:smallCaps w:val="false"/>
          <w:sz w:val="20"/>
        </w:rPr>
        <w:t xml:space="preserve">on ordinary shares of EQT AB (“EQT”), a public company listed on the Nasdaq Stockholm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(EQT.ST), which we received in connection with the sale of our equity interest in Baring Private Equity Asia (“BPEA”)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fourth quarter of 2022 (the “BPEA Transaction”).  The year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includes total gains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$371.3 million</w:t>
      </w:r>
      <w:r>
        <w:rPr>
          <w:caps w:val="false"/>
          <w:smallCaps w:val="false"/>
          <w:sz w:val="24"/>
        </w:rPr>
        <w:t xml:space="preserve"> </w:t>
      </w:r>
      <w:r>
        <w:rPr>
          <w:rFonts w:ascii="Times New Roman;serif" w:hAnsi="Times New Roman;serif"/>
          <w:b w:val="false"/>
          <w:i w:val="false"/>
          <w:caps w:val="false"/>
          <w:smallCaps w:val="false"/>
          <w:sz w:val="20"/>
        </w:rPr>
        <w:t xml:space="preserve">related to the Peppertree, Comvest, and Montrusco Bolton Transactions and realized gains of </w:t>
      </w:r>
      <w:r>
        <w:rPr>
          <w:rFonts w:ascii="Times New Roman;serif" w:hAnsi="Times New Roman;serif"/>
          <w:b w:val="false"/>
          <w:i w:val="false"/>
          <w:caps w:val="false"/>
          <w:smallCaps w:val="false"/>
          <w:strike w:val="false"/>
          <w:dstrike w:val="false"/>
          <w:sz w:val="20"/>
          <w:u w:val="none"/>
          <w:effect w:val="none"/>
        </w:rPr>
        <w:t>$6.2 million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TPG Class A common shares.  See Notes 7 and </w:t>
      </w:r>
      <w:r>
        <w:rPr>
          <w:rFonts w:ascii="Times New Roman;serif" w:hAnsi="Times New Roman;serif"/>
          <w:b w:val="false"/>
          <w:i w:val="false"/>
          <w:caps w:val="false"/>
          <w:smallCaps w:val="false"/>
          <w:strike w:val="false"/>
          <w:dstrike w:val="false"/>
          <w:sz w:val="20"/>
          <w:u w:val="none"/>
          <w:effect w:val="none"/>
        </w:rPr>
        <w:t>8</w:t>
      </w:r>
      <w:r>
        <w:rPr>
          <w:caps w:val="false"/>
          <w:smallCaps w:val="false"/>
          <w:sz w:val="24"/>
        </w:rPr>
        <w:t xml:space="preserve"> </w:t>
      </w:r>
      <w:r>
        <w:rPr>
          <w:rFonts w:ascii="Times New Roman;serif" w:hAnsi="Times New Roman;serif"/>
          <w:b w:val="false"/>
          <w:i w:val="false"/>
          <w:caps w:val="false"/>
          <w:smallCaps w:val="false"/>
          <w:sz w:val="20"/>
        </w:rPr>
        <w:t xml:space="preserve">of our Consolidated Financial Statements.  Veritable, Peppertree,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Comvest, and Montrusco Bolton Transaction gains are recorded in Affiliate transaction gains, and realized gains on EQT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 xml:space="preserve">ordinary shares </w:t>
      </w:r>
      <w:r>
        <w:rPr>
          <w:rFonts w:ascii="Times New Roman;serif" w:hAnsi="Times New Roman;serif"/>
          <w:b w:val="false"/>
          <w:i w:val="false"/>
          <w:caps w:val="false"/>
          <w:smallCaps w:val="false"/>
          <w:sz w:val="20"/>
        </w:rPr>
        <w:t>and TPG Class A common shares are recorded in Investment an</w:t>
      </w:r>
      <w:r>
        <w:rPr>
          <w:rFonts w:ascii="Times New Roman;serif" w:hAnsi="Times New Roman;serif"/>
          <w:b w:val="false"/>
          <w:i w:val="false"/>
          <w:caps w:val="false"/>
          <w:smallCaps w:val="false"/>
          <w:strike w:val="false"/>
          <w:dstrike w:val="false"/>
          <w:sz w:val="20"/>
          <w:u w:val="none"/>
          <w:effect w:val="none"/>
        </w:rPr>
        <w:t xml:space="preserve">d other income in our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z w:val="20"/>
        </w:rPr>
        <w:t>Other items include certain non-income based taxes, depreciation, and non-cash items such as certain Affiliate equity-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related activities, gains and losses on our contingent payment obligations, unrealized gains and losses on seed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partner commitments, and other strategic investments, and realized economic gains and losses related to these seed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capital, general partner commitments, and other strategic investments.  </w:t>
      </w:r>
      <w:r>
        <w:rPr>
          <w:rFonts w:ascii="Times New Roman;serif" w:hAnsi="Times New Roman;serif"/>
          <w:b w:val="false"/>
          <w:i w:val="false"/>
          <w:caps w:val="false"/>
          <w:smallCaps w:val="false"/>
          <w:strike w:val="false"/>
          <w:dstrike w:val="false"/>
          <w:sz w:val="20"/>
          <w:u w:val="none"/>
          <w:effect w:val="none"/>
        </w:rPr>
        <w:t xml:space="preserve">For the year ended December 31, 2025, the increase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other items was predominantly the result of Affiliate equity-related activities.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Economic Net Income (controlling interest) and Economic Earnings Per Share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our Economic net income (controlling interest) definition, we adjust Net income (controlling interest) for our share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pre-tax intangible amortization and impairments related to intangible assets (including the portion attributable to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method investments in Affiliates) because these expenses do not correspond to the changes in the value of these assets,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do not diminish predictably over time.  We also adjust for deferred taxes attributable to intangible assets because we believe 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unlikely these accruals will be used to settle material tax obligations.  Further, we adjust for gains and losses related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Affiliate transactions, net of tax, and other economic items.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Economic earnings per share represents Economic net income (controlling interest) divided by the Average shares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outstanding (adjusted diluted).  In this calculation, we exclude the potential shares issued upon settlement of Redeemable non-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controlling interests from Average shares outstanding (adjusted diluted) because we intend to settle those obligations without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issuing shares, consistent with all prior Affiliate equity purchase transactions.  The potential share issuance in connection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junior convertible securities is measured using a “treasury stock” method.  Under this method, only the net number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shares of common stock equal to the value of these junior convertible securities in excess of par, if any, are deemed to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outstanding.  We believe the inclusion of net shares under a treasury stock method best reflects the benefit of the increase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available capital resources (which could be used to repurchase shares of our common stock) that occurs when these securities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are converted and we are relieved of our debt obligation.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a reconciliation of Net income (controlling interest) to Economic net income (controlling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interest) and Economic earnings per share:</w:t>
      </w:r>
    </w:p>
    <w:tbl>
      <w:tblPr>
        <w:tblW w:w="9994" w:type="dxa"/>
        <w:jc w:val="left"/>
        <w:tblInd w:w="0" w:type="dxa"/>
        <w:tblLayout w:type="fixed"/>
        <w:tblCellMar>
          <w:top w:w="28" w:type="dxa"/>
          <w:left w:w="28" w:type="dxa"/>
          <w:bottom w:w="28" w:type="dxa"/>
          <w:right w:w="28" w:type="dxa"/>
        </w:tblCellMar>
      </w:tblPr>
      <w:tblGrid>
        <w:gridCol w:w="7201"/>
        <w:gridCol w:w="109"/>
        <w:gridCol w:w="799"/>
        <w:gridCol w:w="126"/>
        <w:gridCol w:w="782"/>
        <w:gridCol w:w="126"/>
        <w:gridCol w:w="851"/>
      </w:tblGrid>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r>
      <w:tr>
        <w:trPr/>
        <w:tc>
          <w:tcPr>
            <w:tcW w:w="7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720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 except per share data)</w:t>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Intangible amortization and impairments</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128.5</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149.2</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214.4</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Intangible-related deferred taxes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57.3</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61.9</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45.1</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Affiliate transactions</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(122.1)</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(284.4)</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economic items</w:t>
            </w:r>
            <w:r>
              <w:rPr>
                <w:rFonts w:ascii="Times New Roman;serif" w:hAnsi="Times New Roman;serif"/>
                <w:b w:val="false"/>
                <w:i w:val="false"/>
                <w:caps w:val="false"/>
                <w:smallCaps w:val="false"/>
                <w:strike w:val="false"/>
                <w:dstrike w:val="false"/>
                <w:sz w:val="10"/>
                <w:u w:val="none"/>
                <w:effect w:val="none"/>
              </w:rPr>
              <w:t>(4)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(18.8)</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77.6</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Economic 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$717.8</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$701.6</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$769.3</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shares outstanding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Hypothetical issuance of shares to settle Redeemable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Assumed issuance of junior convertible securities shares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Dilutive impact of junior convertible securities shares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r>
      <w:tr>
        <w:trPr/>
        <w:tc>
          <w:tcPr>
            <w:tcW w:w="72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shares outstanding (adjusted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36.8</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32.8</w:t>
            </w:r>
          </w:p>
        </w:tc>
        <w:tc>
          <w:tcPr>
            <w:tcW w:w="126" w:type="dxa"/>
            <w:tcBorders/>
            <w:shd w:fill="CCEEFF" w:val="clear"/>
            <w:vAlign w:val="center"/>
          </w:tcPr>
          <w:p>
            <w:pPr>
              <w:pStyle w:val="TableContents"/>
              <w:bidi w:val="0"/>
              <w:spacing w:before="0" w:after="283"/>
              <w:jc w:val="left"/>
              <w:rPr>
                <w:sz w:val="4"/>
                <w:szCs w:val="4"/>
              </w:rPr>
            </w:pPr>
            <w:r>
              <w:rPr>
                <w:sz w:val="4"/>
                <w:szCs w:val="4"/>
              </w:rPr>
            </w:r>
          </w:p>
        </w:tc>
        <w:tc>
          <w:tcPr>
            <w:tcW w:w="8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29.5</w:t>
            </w:r>
          </w:p>
        </w:tc>
      </w:tr>
      <w:tr>
        <w:trPr/>
        <w:tc>
          <w:tcPr>
            <w:tcW w:w="72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Economic earnings per share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9"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$19.48</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$21.36</w:t>
            </w:r>
          </w:p>
        </w:tc>
        <w:tc>
          <w:tcPr>
            <w:tcW w:w="126" w:type="dxa"/>
            <w:tcBorders/>
            <w:shd w:fill="FFFFFF" w:val="clear"/>
            <w:vAlign w:val="center"/>
          </w:tcPr>
          <w:p>
            <w:pPr>
              <w:pStyle w:val="TableContents"/>
              <w:bidi w:val="0"/>
              <w:spacing w:before="0" w:after="283"/>
              <w:jc w:val="left"/>
              <w:rPr>
                <w:sz w:val="4"/>
                <w:szCs w:val="4"/>
              </w:rPr>
            </w:pPr>
            <w:r>
              <w:rPr>
                <w:sz w:val="4"/>
                <w:szCs w:val="4"/>
              </w:rPr>
            </w:r>
          </w:p>
        </w:tc>
        <w:tc>
          <w:tcPr>
            <w:tcW w:w="851"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$26.05</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pPr>
      <w:r>
        <w:rPr>
          <w:rFonts w:ascii="Times New Roman;serif" w:hAnsi="Times New Roman;serif"/>
          <w:b w:val="false"/>
          <w:i w:val="false"/>
          <w:caps w:val="false"/>
          <w:smallCaps w:val="false"/>
          <w:sz w:val="10"/>
        </w:rPr>
        <w:t>(1)</w:t>
      </w:r>
      <w:r>
        <w:rPr>
          <w:rFonts w:ascii="Times New Roman;serif" w:hAnsi="Times New Roman;serif"/>
          <w:b w:val="false"/>
          <w:i w:val="false"/>
          <w:caps w:val="false"/>
          <w:smallCaps w:val="false"/>
          <w:sz w:val="20"/>
        </w:rPr>
        <w:t>See note (2) to the table in “Adjusted EBITDA (controlling interest).”</w:t>
      </w:r>
    </w:p>
    <w:p>
      <w:pPr>
        <w:pStyle w:val="TextBody"/>
        <w:bidi w:val="0"/>
        <w:spacing w:lineRule="atLeast" w:line="200" w:before="0" w:after="0"/>
        <w:jc w:val="left"/>
        <w:rPr/>
      </w:pPr>
      <w:r>
        <w:rPr>
          <w:rFonts w:ascii="Times New Roman;serif" w:hAnsi="Times New Roman;serif"/>
          <w:b w:val="false"/>
          <w:i w:val="false"/>
          <w:caps w:val="false"/>
          <w:smallCaps w:val="false"/>
          <w:sz w:val="10"/>
        </w:rPr>
        <w:t>(2)</w:t>
      </w:r>
      <w:r>
        <w:rPr>
          <w:rFonts w:ascii="Times New Roman;serif" w:hAnsi="Times New Roman;serif"/>
          <w:b w:val="false"/>
          <w:i w:val="false"/>
          <w:caps w:val="false"/>
          <w:smallCaps w:val="false"/>
          <w:sz w:val="20"/>
        </w:rPr>
        <w:t xml:space="preserve">Includes equity method deferred taxes.  For the year ended December 31, 2023, intangible-related deferred taxes have been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adjusted to eliminate benefits of $28.9 million related to the Veritable Transaction.  </w:t>
      </w:r>
      <w:r>
        <w:rPr>
          <w:rFonts w:ascii="Times New Roman;serif" w:hAnsi="Times New Roman;serif"/>
          <w:b w:val="false"/>
          <w:i w:val="false"/>
          <w:caps w:val="false"/>
          <w:smallCaps w:val="false"/>
          <w:strike w:val="false"/>
          <w:dstrike w:val="false"/>
          <w:sz w:val="20"/>
          <w:u w:val="none"/>
          <w:effect w:val="none"/>
        </w:rPr>
        <w:t xml:space="preserve">For the year ended December 31,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intangible-related deferred taxes have been adjusted to eliminate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expenses of $4.4 million related to the Peppertree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Comvest Transactions.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(3)</w:t>
      </w:r>
      <w:r>
        <w:rPr>
          <w:rFonts w:ascii="Times New Roman;serif" w:hAnsi="Times New Roman;serif"/>
          <w:b w:val="false"/>
          <w:i w:val="false"/>
          <w:caps w:val="false"/>
          <w:smallCaps w:val="false"/>
          <w:strike w:val="false"/>
          <w:dstrike w:val="false"/>
          <w:sz w:val="20"/>
          <w:u w:val="none"/>
          <w:effect w:val="none"/>
        </w:rPr>
        <w:t>The year ended December 31, 2023 includes a gain of $133.1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Veritable Transaction and realized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gains of $29.6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EQT ordinary shares related to the BPEA Transaction, net of $40.6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income tax expense.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year ended December 31, 2025 includes total gains of $371.3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Peppertree, Comvest,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Montrusco Bolton Transactions and realized gains of $6.2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on TPG Class A common shares, net of $93.1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income tax expense.  See Notes 7 and 8 of our Consolidated Financial Statements.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10"/>
        </w:rPr>
        <w:t>(4)</w:t>
      </w:r>
      <w:r>
        <w:rPr>
          <w:rFonts w:ascii="Times New Roman;serif" w:hAnsi="Times New Roman;serif"/>
          <w:b w:val="false"/>
          <w:i w:val="false"/>
          <w:caps w:val="false"/>
          <w:smallCaps w:val="false"/>
          <w:sz w:val="20"/>
        </w:rPr>
        <w:t>Other economic items include certa</w:t>
      </w:r>
      <w:r>
        <w:rPr>
          <w:rFonts w:ascii="Times New Roman;serif" w:hAnsi="Times New Roman;serif"/>
          <w:b w:val="false"/>
          <w:i w:val="false"/>
          <w:caps w:val="false"/>
          <w:smallCaps w:val="false"/>
          <w:strike w:val="false"/>
          <w:dstrike w:val="false"/>
          <w:sz w:val="20"/>
          <w:u w:val="none"/>
          <w:effect w:val="none"/>
        </w:rPr>
        <w:t>in Affiliat</w:t>
      </w:r>
      <w:r>
        <w:rPr>
          <w:rFonts w:ascii="Times New Roman;serif" w:hAnsi="Times New Roman;serif"/>
          <w:b w:val="false"/>
          <w:i w:val="false"/>
          <w:caps w:val="false"/>
          <w:smallCaps w:val="false"/>
          <w:sz w:val="20"/>
        </w:rPr>
        <w:t xml:space="preserve">e equity-related activities, gains and losses related to contingent payment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obligations, tax windfalls and shortfalls from share-based compensation, unrealized gains and losses on seed capital,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partner commitments, and other strategic investments, and realized economic gains and losses related to these seed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capital, general partner commitments, and other strategic investments.  </w:t>
      </w:r>
      <w:r>
        <w:rPr>
          <w:rFonts w:ascii="Times New Roman;serif" w:hAnsi="Times New Roman;serif"/>
          <w:b w:val="false"/>
          <w:i w:val="false"/>
          <w:caps w:val="false"/>
          <w:smallCaps w:val="false"/>
          <w:strike w:val="false"/>
          <w:dstrike w:val="false"/>
          <w:sz w:val="20"/>
          <w:u w:val="none"/>
          <w:effect w:val="none"/>
        </w:rPr>
        <w:t xml:space="preserve">For the year ended December 31, 2025, the increase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other economic items was predominantly the result of Affiliate equity-related activities.</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Liquidity and Capital Resources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generate long-term value by investing in new Affiliate partnerships, existing Affiliates, and strategic value-add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capabilities through which we can leverage our scale and resources to benefit our Affiliates and enhance their long-term growth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prospects.  Given our annual cash generation from operations, in addition to investing for growth in our business, we are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able to return excess capital to shareholders primarily through share repurchases.  We continue to manage our capital structure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consistent with an investment grade company and are currently rated </w:t>
      </w:r>
      <w:r>
        <w:rPr>
          <w:rFonts w:ascii="Times New Roman;serif" w:hAnsi="Times New Roman;serif"/>
          <w:b w:val="false"/>
          <w:i w:val="false"/>
          <w:caps w:val="false"/>
          <w:smallCaps w:val="false"/>
          <w:strike w:val="false"/>
          <w:dstrike w:val="false"/>
          <w:sz w:val="20"/>
          <w:u w:val="none"/>
          <w:effect w:val="none"/>
        </w:rPr>
        <w:t>A3</w:t>
      </w:r>
      <w:r>
        <w:rPr>
          <w:caps w:val="false"/>
          <w:smallCaps w:val="false"/>
          <w:sz w:val="24"/>
        </w:rPr>
        <w:t xml:space="preserve"> </w:t>
      </w:r>
      <w:r>
        <w:rPr>
          <w:rFonts w:ascii="Times New Roman;serif" w:hAnsi="Times New Roman;serif"/>
          <w:b w:val="false"/>
          <w:i w:val="false"/>
          <w:caps w:val="false"/>
          <w:smallCaps w:val="false"/>
          <w:sz w:val="20"/>
        </w:rPr>
        <w:t xml:space="preserve">by Moody’s Investors Service and </w:t>
      </w:r>
      <w:r>
        <w:rPr>
          <w:rFonts w:ascii="Times New Roman;serif" w:hAnsi="Times New Roman;serif"/>
          <w:b w:val="false"/>
          <w:i w:val="false"/>
          <w:caps w:val="false"/>
          <w:smallCaps w:val="false"/>
          <w:strike w:val="false"/>
          <w:dstrike w:val="false"/>
          <w:sz w:val="20"/>
          <w:u w:val="none"/>
          <w:effect w:val="none"/>
        </w:rPr>
        <w:t>BBB+</w:t>
      </w:r>
      <w:r>
        <w:rPr>
          <w:caps w:val="false"/>
          <w:smallCaps w:val="false"/>
          <w:sz w:val="24"/>
        </w:rPr>
        <w:t xml:space="preserve"> </w:t>
      </w:r>
      <w:r>
        <w:rPr>
          <w:rFonts w:ascii="Times New Roman;serif" w:hAnsi="Times New Roman;serif"/>
          <w:b w:val="false"/>
          <w:i w:val="false"/>
          <w:caps w:val="false"/>
          <w:smallCaps w:val="false"/>
          <w:sz w:val="20"/>
        </w:rPr>
        <w:t xml:space="preserve">by S&amp;P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Global Ratings.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Cash and cash equivalents were </w:t>
      </w:r>
      <w:r>
        <w:rPr>
          <w:rFonts w:ascii="Times New Roman;serif" w:hAnsi="Times New Roman;serif"/>
          <w:b w:val="false"/>
          <w:i w:val="false"/>
          <w:caps w:val="false"/>
          <w:smallCaps w:val="false"/>
          <w:strike w:val="false"/>
          <w:dstrike w:val="false"/>
          <w:sz w:val="20"/>
          <w:u w:val="none"/>
          <w:effect w:val="none"/>
        </w:rPr>
        <w:t>$586.0 million</w:t>
      </w:r>
      <w:r>
        <w:rPr>
          <w:caps w:val="false"/>
          <w:smallCaps w:val="false"/>
          <w:sz w:val="24"/>
        </w:rPr>
        <w:t xml:space="preserve"> </w:t>
      </w:r>
      <w:r>
        <w:rPr>
          <w:rFonts w:ascii="Times New Roman;serif" w:hAnsi="Times New Roman;serif"/>
          <w:b w:val="false"/>
          <w:i w:val="false"/>
          <w:caps w:val="false"/>
          <w:smallCaps w:val="false"/>
          <w:sz w:val="20"/>
        </w:rPr>
        <w:t xml:space="preserve">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were attributable to both our controlling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non-controlling interests.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met our cash requirements primarily through cash generated by operating activities,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senior bank debt borrowings, and an issuance of senior notes</w:t>
      </w:r>
      <w:r>
        <w:rPr>
          <w:rFonts w:ascii="Times New Roman;serif" w:hAnsi="Times New Roman;serif"/>
          <w:b w:val="false"/>
          <w:i w:val="false"/>
          <w:caps w:val="false"/>
          <w:smallCaps w:val="false"/>
          <w:sz w:val="20"/>
        </w:rPr>
        <w:t xml:space="preserve">.  In addition, during the year ended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received total after-tax net proceeds of approximately </w:t>
      </w:r>
      <w:r>
        <w:rPr>
          <w:rFonts w:ascii="Times New Roman;serif" w:hAnsi="Times New Roman;serif"/>
          <w:b w:val="false"/>
          <w:i w:val="false"/>
          <w:caps w:val="false"/>
          <w:smallCaps w:val="false"/>
          <w:strike w:val="false"/>
          <w:dstrike w:val="false"/>
          <w:sz w:val="20"/>
          <w:u w:val="none"/>
          <w:effect w:val="none"/>
        </w:rPr>
        <w:t>$490 million</w:t>
      </w:r>
      <w:r>
        <w:rPr>
          <w:caps w:val="false"/>
          <w:smallCaps w:val="false"/>
          <w:sz w:val="24"/>
        </w:rPr>
        <w:t xml:space="preserve"> </w:t>
      </w:r>
      <w:r>
        <w:rPr>
          <w:rFonts w:ascii="Times New Roman;serif" w:hAnsi="Times New Roman;serif"/>
          <w:b w:val="false"/>
          <w:i w:val="false"/>
          <w:caps w:val="false"/>
          <w:smallCaps w:val="false"/>
          <w:sz w:val="20"/>
        </w:rPr>
        <w:t xml:space="preserve">from the Peppertree, Comvest, and Montrusco Bolton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Transactions.  </w:t>
      </w:r>
      <w:r>
        <w:rPr>
          <w:rFonts w:ascii="Times New Roman;serif" w:hAnsi="Times New Roman;serif"/>
          <w:b w:val="false"/>
          <w:i w:val="false"/>
          <w:caps w:val="false"/>
          <w:smallCaps w:val="false"/>
          <w:strike w:val="false"/>
          <w:dstrike w:val="false"/>
          <w:sz w:val="20"/>
          <w:u w:val="none"/>
          <w:effect w:val="none"/>
        </w:rPr>
        <w:t>Our principal uses of cash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for investments in new Affiliates, the return of excess capital through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share repurchases, repayment of debt,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distributions to Affiliate equity holders.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expect investments in new Affiliates, investments in existing Affiliates, primarily through purchases of Affiliate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interests and general partner and seed capital investments, the return of capital through share repurchases and the payment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dividends on our common stock, repayment of debt, distributions to Affiliate equity holders, payment of income taxes,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general working capital to be the primary uses of cash on a consolidated basis for the foreseeable future.  In addition, in January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2026, we settled each of our conversion obligations with respect to our junior convertible securities in cash for an aggregate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amount of $514.6 million.  We anticipate that our current cash balance, cash flows from operations, and borrowings under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revolver will be sufficient to support our uses of cash for the foreseeable future.  In addition, we may draw funding from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debt and equity capital markets, and our credit ratings, among other factors, allow us to access these sources of funding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favorable terms.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following table presents operating, investing, and financing cash flow activities:</w:t>
      </w:r>
    </w:p>
    <w:tbl>
      <w:tblPr>
        <w:tblW w:w="9604" w:type="dxa"/>
        <w:jc w:val="left"/>
        <w:tblInd w:w="0" w:type="dxa"/>
        <w:tblLayout w:type="fixed"/>
        <w:tblCellMar>
          <w:top w:w="28" w:type="dxa"/>
          <w:left w:w="28" w:type="dxa"/>
          <w:bottom w:w="28" w:type="dxa"/>
          <w:right w:w="28" w:type="dxa"/>
        </w:tblCellMar>
      </w:tblPr>
      <w:tblGrid>
        <w:gridCol w:w="6811"/>
        <w:gridCol w:w="109"/>
        <w:gridCol w:w="704"/>
        <w:gridCol w:w="111"/>
        <w:gridCol w:w="856"/>
        <w:gridCol w:w="111"/>
        <w:gridCol w:w="902"/>
      </w:tblGrid>
      <w:tr>
        <w:trPr/>
        <w:tc>
          <w:tcPr>
            <w:tcW w:w="6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6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81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8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cash flow</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$874.3</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$932.1</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$973.2</w:t>
            </w:r>
          </w:p>
        </w:tc>
      </w:tr>
      <w:tr>
        <w:trPr/>
        <w:tc>
          <w:tcPr>
            <w:tcW w:w="68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Investing cash flow</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264.5</w:t>
            </w:r>
          </w:p>
        </w:tc>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379.1</w:t>
            </w:r>
          </w:p>
        </w:tc>
        <w:tc>
          <w:tcPr>
            <w:tcW w:w="111"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(206.1)</w:t>
            </w:r>
          </w:p>
        </w:tc>
      </w:tr>
      <w:tr>
        <w:trPr/>
        <w:tc>
          <w:tcPr>
            <w:tcW w:w="68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Financing cash flow</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(758.3)</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(1,175.9)</w:t>
            </w:r>
          </w:p>
        </w:tc>
        <w:tc>
          <w:tcPr>
            <w:tcW w:w="111"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(1,148.7)</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Operating Cash Flow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Operating cash flows are calculated by adjusting Net income for other significant sources and uses of cash, significant non-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cash items, and timing differences in the cash settlement of assets and liabilities.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Cash flows from operating activities were </w:t>
      </w:r>
      <w:r>
        <w:rPr>
          <w:rFonts w:ascii="Times New Roman;serif" w:hAnsi="Times New Roman;serif"/>
          <w:b w:val="false"/>
          <w:i w:val="false"/>
          <w:caps w:val="false"/>
          <w:smallCaps w:val="false"/>
          <w:strike w:val="false"/>
          <w:dstrike w:val="false"/>
          <w:sz w:val="20"/>
          <w:u w:val="none"/>
          <w:effect w:val="none"/>
        </w:rPr>
        <w:t>$973.2 million</w:t>
      </w:r>
      <w:r>
        <w:rPr>
          <w:rFonts w:ascii="Times New Roman;serif" w:hAnsi="Times New Roman;serif"/>
          <w:b w:val="false"/>
          <w:i w:val="false"/>
          <w:caps w:val="false"/>
          <w:smallCaps w:val="false"/>
          <w:sz w:val="20"/>
        </w:rPr>
        <w:t xml:space="preserve">, primarily from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income of </w:t>
      </w:r>
      <w:r>
        <w:rPr>
          <w:rFonts w:ascii="Times New Roman;serif" w:hAnsi="Times New Roman;serif"/>
          <w:b w:val="false"/>
          <w:i w:val="false"/>
          <w:caps w:val="false"/>
          <w:smallCaps w:val="false"/>
          <w:strike w:val="false"/>
          <w:dstrike w:val="false"/>
          <w:sz w:val="20"/>
          <w:u w:val="none"/>
          <w:effect w:val="none"/>
        </w:rPr>
        <w:t>$904.0 million</w:t>
      </w:r>
      <w:r>
        <w:rPr>
          <w:caps w:val="false"/>
          <w:smallCaps w:val="false"/>
          <w:sz w:val="24"/>
        </w:rPr>
        <w:t xml:space="preserve"> </w:t>
      </w:r>
      <w:r>
        <w:rPr>
          <w:rFonts w:ascii="Times New Roman;serif" w:hAnsi="Times New Roman;serif"/>
          <w:b w:val="false"/>
          <w:i w:val="false"/>
          <w:caps w:val="false"/>
          <w:smallCaps w:val="false"/>
          <w:sz w:val="20"/>
        </w:rPr>
        <w:t xml:space="preserve">adjusted for non-cash items of $424.5 million and distributions of earnings received from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method investments of </w:t>
      </w:r>
      <w:r>
        <w:rPr>
          <w:rFonts w:ascii="Times New Roman;serif" w:hAnsi="Times New Roman;serif"/>
          <w:b w:val="false"/>
          <w:i w:val="false"/>
          <w:caps w:val="false"/>
          <w:smallCaps w:val="false"/>
          <w:strike w:val="false"/>
          <w:dstrike w:val="false"/>
          <w:sz w:val="20"/>
          <w:u w:val="none"/>
          <w:effect w:val="none"/>
        </w:rPr>
        <w:t>$467.8 million</w:t>
      </w:r>
      <w:r>
        <w:rPr>
          <w:rFonts w:ascii="Times New Roman;serif" w:hAnsi="Times New Roman;serif"/>
          <w:b w:val="false"/>
          <w:i w:val="false"/>
          <w:caps w:val="false"/>
          <w:smallCaps w:val="false"/>
          <w:sz w:val="20"/>
        </w:rPr>
        <w:t xml:space="preserve">.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operating cash flows were primarily attributable to the controlling interest.</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Investing Cash Flow</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Cash flows used in investing activities were </w:t>
      </w:r>
      <w:r>
        <w:rPr>
          <w:rFonts w:ascii="Times New Roman;serif" w:hAnsi="Times New Roman;serif"/>
          <w:b w:val="false"/>
          <w:i w:val="false"/>
          <w:caps w:val="false"/>
          <w:smallCaps w:val="false"/>
          <w:strike w:val="false"/>
          <w:dstrike w:val="false"/>
          <w:sz w:val="20"/>
          <w:u w:val="none"/>
          <w:effect w:val="none"/>
        </w:rPr>
        <w:t>$206.1 million</w:t>
      </w:r>
      <w:r>
        <w:rPr>
          <w:rFonts w:ascii="Times New Roman;serif" w:hAnsi="Times New Roman;serif"/>
          <w:b w:val="false"/>
          <w:i w:val="false"/>
          <w:caps w:val="false"/>
          <w:smallCaps w:val="false"/>
          <w:sz w:val="20"/>
        </w:rPr>
        <w:t xml:space="preserve">, primarily due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$776.0 million of investments in Affiliates and </w:t>
      </w:r>
      <w:r>
        <w:rPr>
          <w:rFonts w:ascii="Times New Roman;serif" w:hAnsi="Times New Roman;serif"/>
          <w:b w:val="false"/>
          <w:i w:val="false"/>
          <w:caps w:val="false"/>
          <w:smallCaps w:val="false"/>
          <w:strike w:val="false"/>
          <w:dstrike w:val="false"/>
          <w:sz w:val="20"/>
          <w:u w:val="none"/>
          <w:effect w:val="none"/>
        </w:rPr>
        <w:t>$103.8 million</w:t>
      </w:r>
      <w:r>
        <w:rPr>
          <w:caps w:val="false"/>
          <w:smallCaps w:val="false"/>
          <w:sz w:val="24"/>
        </w:rPr>
        <w:t xml:space="preserve"> </w:t>
      </w:r>
      <w:r>
        <w:rPr>
          <w:rFonts w:ascii="Times New Roman;serif" w:hAnsi="Times New Roman;serif"/>
          <w:b w:val="false"/>
          <w:i w:val="false"/>
          <w:caps w:val="false"/>
          <w:smallCaps w:val="false"/>
          <w:sz w:val="20"/>
        </w:rPr>
        <w:t xml:space="preserve">of purchases of investment securities.  These items were partially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offset by $403.8 million of cash proceeds from Affiliate transactions and </w:t>
      </w:r>
      <w:r>
        <w:rPr>
          <w:rFonts w:ascii="Times New Roman;serif" w:hAnsi="Times New Roman;serif"/>
          <w:b w:val="false"/>
          <w:i w:val="false"/>
          <w:caps w:val="false"/>
          <w:smallCaps w:val="false"/>
          <w:strike w:val="false"/>
          <w:dstrike w:val="false"/>
          <w:sz w:val="20"/>
          <w:u w:val="none"/>
          <w:effect w:val="none"/>
        </w:rPr>
        <w:t>$266.2 million</w:t>
      </w:r>
      <w:r>
        <w:rPr>
          <w:caps w:val="false"/>
          <w:smallCaps w:val="false"/>
          <w:sz w:val="24"/>
        </w:rPr>
        <w:t xml:space="preserve"> </w:t>
      </w:r>
      <w:r>
        <w:rPr>
          <w:rFonts w:ascii="Times New Roman;serif" w:hAnsi="Times New Roman;serif"/>
          <w:b w:val="false"/>
          <w:i w:val="false"/>
          <w:caps w:val="false"/>
          <w:smallCaps w:val="false"/>
          <w:sz w:val="20"/>
        </w:rPr>
        <w:t xml:space="preserve">of maturities and sales of investment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investing cash flows were primarily attributable to the controlling interest.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Financing Cash Flow</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Cash flows used in financing activities were </w:t>
      </w:r>
      <w:r>
        <w:rPr>
          <w:rFonts w:ascii="Times New Roman;serif" w:hAnsi="Times New Roman;serif"/>
          <w:b w:val="false"/>
          <w:i w:val="false"/>
          <w:caps w:val="false"/>
          <w:smallCaps w:val="false"/>
          <w:strike w:val="false"/>
          <w:dstrike w:val="false"/>
          <w:sz w:val="20"/>
          <w:u w:val="none"/>
          <w:effect w:val="none"/>
        </w:rPr>
        <w:t>$1,148.7 million</w:t>
      </w:r>
      <w:r>
        <w:rPr>
          <w:rFonts w:ascii="Times New Roman;serif" w:hAnsi="Times New Roman;serif"/>
          <w:b w:val="false"/>
          <w:i w:val="false"/>
          <w:caps w:val="false"/>
          <w:smallCaps w:val="false"/>
          <w:sz w:val="20"/>
        </w:rPr>
        <w:t xml:space="preserve">, primarily due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repayment of senior bank debt borrowings and matured senior notes of $826.1 million</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$706.3 million</w:t>
      </w:r>
      <w:r>
        <w:rPr>
          <w:caps w:val="false"/>
          <w:smallCaps w:val="false"/>
          <w:sz w:val="24"/>
        </w:rPr>
        <w:t xml:space="preserve"> </w:t>
      </w:r>
      <w:r>
        <w:rPr>
          <w:rFonts w:ascii="Times New Roman;serif" w:hAnsi="Times New Roman;serif"/>
          <w:b w:val="false"/>
          <w:i w:val="false"/>
          <w:caps w:val="false"/>
          <w:smallCaps w:val="false"/>
          <w:sz w:val="20"/>
        </w:rPr>
        <w:t xml:space="preserve">of repurchases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common stock, net, </w:t>
      </w:r>
      <w:r>
        <w:rPr>
          <w:rFonts w:ascii="Times New Roman;serif" w:hAnsi="Times New Roman;serif"/>
          <w:b w:val="false"/>
          <w:i w:val="false"/>
          <w:caps w:val="false"/>
          <w:smallCaps w:val="false"/>
          <w:strike w:val="false"/>
          <w:dstrike w:val="false"/>
          <w:sz w:val="20"/>
          <w:u w:val="none"/>
          <w:effect w:val="none"/>
        </w:rPr>
        <w:t>$252.3 million</w:t>
      </w:r>
      <w:r>
        <w:rPr>
          <w:caps w:val="false"/>
          <w:smallCaps w:val="false"/>
          <w:sz w:val="24"/>
        </w:rPr>
        <w:t xml:space="preserve"> </w:t>
      </w:r>
      <w:r>
        <w:rPr>
          <w:rFonts w:ascii="Times New Roman;serif" w:hAnsi="Times New Roman;serif"/>
          <w:b w:val="false"/>
          <w:i w:val="false"/>
          <w:caps w:val="false"/>
          <w:smallCaps w:val="false"/>
          <w:sz w:val="20"/>
        </w:rPr>
        <w:t xml:space="preserve">of distributions to non-controlling interests, </w:t>
      </w:r>
      <w:r>
        <w:rPr>
          <w:rFonts w:ascii="Times New Roman;serif" w:hAnsi="Times New Roman;serif"/>
          <w:b w:val="false"/>
          <w:i w:val="false"/>
          <w:caps w:val="false"/>
          <w:smallCaps w:val="false"/>
          <w:strike w:val="false"/>
          <w:dstrike w:val="false"/>
          <w:sz w:val="20"/>
          <w:u w:val="none"/>
          <w:effect w:val="none"/>
        </w:rPr>
        <w:t>$170.3 million</w:t>
      </w:r>
      <w:r>
        <w:rPr>
          <w:caps w:val="false"/>
          <w:smallCaps w:val="false"/>
          <w:sz w:val="24"/>
        </w:rPr>
        <w:t xml:space="preserve"> </w:t>
      </w:r>
      <w:r>
        <w:rPr>
          <w:rFonts w:ascii="Times New Roman;serif" w:hAnsi="Times New Roman;serif"/>
          <w:b w:val="false"/>
          <w:i w:val="false"/>
          <w:caps w:val="false"/>
          <w:smallCaps w:val="false"/>
          <w:sz w:val="20"/>
        </w:rPr>
        <w:t xml:space="preserve">of Affiliate equity purchases,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issuances, and $108.0 million of taxes paid on shares withheld for share-based awards.  These items were partially offset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senior bank debt borrowings and an issuance of senior notes of $899.3 million.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financing cash flows were primarily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attributable to the controlling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 Equity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periodically purchase Affiliate equity from and issue Affiliate equity to our consolidated Affiliate partners and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parties under agreements that provide us with a conditional right to call and Affiliate equity holders with a conditional right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put their Affiliate equity interests to us at certain intervals.  We have the right to settle a portion of these purchases in shares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common stock.  For Affiliates accounted for under the equity method, we do not typically have such put and call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arrangements.  The purchase price of these conditional purchases is generally calculated based upon a multiple of the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flow distributions, which is intended to represent fair value.  In certain cases, Affiliate equity holders are also permitted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sell their equity interests to Affiliate partners or other parties, subject to our approval or other restrictions.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the current redemption value of Affiliate equity interests was </w:t>
      </w:r>
      <w:r>
        <w:rPr>
          <w:rFonts w:ascii="Times New Roman;serif" w:hAnsi="Times New Roman;serif"/>
          <w:b w:val="false"/>
          <w:i w:val="false"/>
          <w:caps w:val="false"/>
          <w:smallCaps w:val="false"/>
          <w:strike w:val="false"/>
          <w:dstrike w:val="false"/>
          <w:sz w:val="20"/>
          <w:u w:val="none"/>
          <w:effect w:val="none"/>
        </w:rPr>
        <w:t>$408.0 million</w:t>
      </w:r>
      <w:r>
        <w:rPr>
          <w:rFonts w:ascii="Times New Roman;serif" w:hAnsi="Times New Roman;serif"/>
          <w:b w:val="false"/>
          <w:i w:val="false"/>
          <w:caps w:val="false"/>
          <w:smallCaps w:val="false"/>
          <w:sz w:val="20"/>
        </w:rPr>
        <w:t xml:space="preserve">, of which </w:t>
      </w:r>
      <w:r>
        <w:rPr>
          <w:rFonts w:ascii="Times New Roman;serif" w:hAnsi="Times New Roman;serif"/>
          <w:b w:val="false"/>
          <w:i w:val="false"/>
          <w:caps w:val="false"/>
          <w:smallCaps w:val="false"/>
          <w:strike w:val="false"/>
          <w:dstrike w:val="false"/>
          <w:sz w:val="20"/>
          <w:u w:val="none"/>
          <w:effect w:val="none"/>
        </w:rPr>
        <w:t xml:space="preserve">$246.8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was presented as Redeemable non-controlling interests (including </w:t>
      </w:r>
      <w:r>
        <w:rPr>
          <w:rFonts w:ascii="Times New Roman;serif" w:hAnsi="Times New Roman;serif"/>
          <w:b w:val="false"/>
          <w:i w:val="false"/>
          <w:caps w:val="false"/>
          <w:smallCaps w:val="false"/>
          <w:strike w:val="false"/>
          <w:dstrike w:val="false"/>
          <w:sz w:val="20"/>
          <w:u w:val="none"/>
          <w:effect w:val="none"/>
        </w:rPr>
        <w:t>$32.2 million</w:t>
      </w:r>
      <w:r>
        <w:rPr>
          <w:caps w:val="false"/>
          <w:smallCaps w:val="false"/>
          <w:sz w:val="24"/>
        </w:rPr>
        <w:t xml:space="preserve"> </w:t>
      </w:r>
      <w:r>
        <w:rPr>
          <w:rFonts w:ascii="Times New Roman;serif" w:hAnsi="Times New Roman;serif"/>
          <w:b w:val="false"/>
          <w:i w:val="false"/>
          <w:caps w:val="false"/>
          <w:smallCaps w:val="false"/>
          <w:sz w:val="20"/>
        </w:rPr>
        <w:t xml:space="preserve">of consolidated Affiliate sponsored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investment products primarily attributable to third-party investors), and </w:t>
      </w:r>
      <w:r>
        <w:rPr>
          <w:rFonts w:ascii="Times New Roman;serif" w:hAnsi="Times New Roman;serif"/>
          <w:b w:val="false"/>
          <w:i w:val="false"/>
          <w:caps w:val="false"/>
          <w:smallCaps w:val="false"/>
          <w:strike w:val="false"/>
          <w:dstrike w:val="false"/>
          <w:sz w:val="20"/>
          <w:u w:val="none"/>
          <w:effect w:val="none"/>
        </w:rPr>
        <w:t>$161.2 million</w:t>
      </w:r>
      <w:r>
        <w:rPr>
          <w:caps w:val="false"/>
          <w:smallCaps w:val="false"/>
          <w:sz w:val="24"/>
        </w:rPr>
        <w:t xml:space="preserve"> </w:t>
      </w:r>
      <w:r>
        <w:rPr>
          <w:rFonts w:ascii="Times New Roman;serif" w:hAnsi="Times New Roman;serif"/>
          <w:b w:val="false"/>
          <w:i w:val="false"/>
          <w:caps w:val="false"/>
          <w:smallCaps w:val="false"/>
          <w:sz w:val="20"/>
        </w:rPr>
        <w:t xml:space="preserve">was included in Other liabilities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Consolidated Balance Sheets.  Although the timing and amounts of these purchases are difficult to predict, we paid </w:t>
      </w:r>
      <w:r>
        <w:rPr>
          <w:rFonts w:ascii="Times New Roman;serif" w:hAnsi="Times New Roman;serif"/>
          <w:b w:val="false"/>
          <w:i w:val="false"/>
          <w:caps w:val="false"/>
          <w:smallCaps w:val="false"/>
          <w:strike w:val="false"/>
          <w:dstrike w:val="false"/>
          <w:sz w:val="20"/>
          <w:u w:val="none"/>
          <w:effect w:val="none"/>
        </w:rPr>
        <w:t xml:space="preserve">$176.7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for Affiliate equity purchases and received </w:t>
      </w:r>
      <w:r>
        <w:rPr>
          <w:rFonts w:ascii="Times New Roman;serif" w:hAnsi="Times New Roman;serif"/>
          <w:b w:val="false"/>
          <w:i w:val="false"/>
          <w:caps w:val="false"/>
          <w:smallCaps w:val="false"/>
          <w:strike w:val="false"/>
          <w:dstrike w:val="false"/>
          <w:sz w:val="20"/>
          <w:u w:val="none"/>
          <w:effect w:val="none"/>
        </w:rPr>
        <w:t>$6.4 million</w:t>
      </w:r>
      <w:r>
        <w:rPr>
          <w:caps w:val="false"/>
          <w:smallCaps w:val="false"/>
          <w:sz w:val="24"/>
        </w:rPr>
        <w:t xml:space="preserve"> </w:t>
      </w:r>
      <w:r>
        <w:rPr>
          <w:rFonts w:ascii="Times New Roman;serif" w:hAnsi="Times New Roman;serif"/>
          <w:b w:val="false"/>
          <w:i w:val="false"/>
          <w:caps w:val="false"/>
          <w:smallCaps w:val="false"/>
          <w:sz w:val="20"/>
        </w:rPr>
        <w:t xml:space="preserve">for Affiliate equity issuances in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and we expect net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purchases of approximately </w:t>
      </w:r>
      <w:r>
        <w:rPr>
          <w:rFonts w:ascii="Times New Roman;serif" w:hAnsi="Times New Roman;serif"/>
          <w:b w:val="false"/>
          <w:i w:val="false"/>
          <w:caps w:val="false"/>
          <w:smallCaps w:val="false"/>
          <w:strike w:val="false"/>
          <w:dstrike w:val="false"/>
          <w:sz w:val="20"/>
          <w:u w:val="none"/>
          <w:effect w:val="none"/>
        </w:rPr>
        <w:t>$100 million</w:t>
      </w:r>
      <w:r>
        <w:rPr>
          <w:caps w:val="false"/>
          <w:smallCaps w:val="false"/>
          <w:sz w:val="24"/>
        </w:rPr>
        <w:t xml:space="preserve"> </w:t>
      </w:r>
      <w:r>
        <w:rPr>
          <w:rFonts w:ascii="Times New Roman;serif" w:hAnsi="Times New Roman;serif"/>
          <w:b w:val="false"/>
          <w:i w:val="false"/>
          <w:caps w:val="false"/>
          <w:smallCaps w:val="false"/>
          <w:sz w:val="20"/>
        </w:rPr>
        <w:t xml:space="preserve">of Affiliate equity in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In the event of a purchase, we become the owner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flow associated with the purchased equity.  See Notes 13 and 14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Share Repurchases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Board of Directors authorized </w:t>
      </w:r>
      <w:r>
        <w:rPr>
          <w:rFonts w:ascii="Times New Roman;serif" w:hAnsi="Times New Roman;serif"/>
          <w:b w:val="false"/>
          <w:i w:val="false"/>
          <w:caps w:val="false"/>
          <w:smallCaps w:val="false"/>
          <w:strike w:val="false"/>
          <w:dstrike w:val="false"/>
          <w:sz w:val="20"/>
          <w:u w:val="none"/>
          <w:effect w:val="none"/>
        </w:rPr>
        <w:t>share repurchase programs in July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January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w:t>
      </w:r>
      <w:r>
        <w:rPr>
          <w:rFonts w:ascii="Times New Roman;serif" w:hAnsi="Times New Roman;serif"/>
          <w:b w:val="false"/>
          <w:i w:val="false"/>
          <w:caps w:val="false"/>
          <w:smallCaps w:val="false"/>
          <w:sz w:val="20"/>
        </w:rPr>
        <w:t xml:space="preserve">o repurchase up to </w:t>
      </w:r>
      <w:r>
        <w:rPr>
          <w:rFonts w:ascii="Times New Roman;serif" w:hAnsi="Times New Roman;serif"/>
          <w:b w:val="false"/>
          <w:i w:val="false"/>
          <w:caps w:val="false"/>
          <w:smallCaps w:val="false"/>
          <w:strike w:val="false"/>
          <w:dstrike w:val="false"/>
          <w:sz w:val="20"/>
          <w:u w:val="none"/>
          <w:effect w:val="none"/>
        </w:rPr>
        <w:t xml:space="preserve">5.4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4.2 million</w:t>
      </w:r>
      <w:r>
        <w:rPr>
          <w:caps w:val="false"/>
          <w:smallCaps w:val="false"/>
          <w:sz w:val="24"/>
        </w:rPr>
        <w:t xml:space="preserve"> </w:t>
      </w:r>
      <w:r>
        <w:rPr>
          <w:rFonts w:ascii="Times New Roman;serif" w:hAnsi="Times New Roman;serif"/>
          <w:b w:val="false"/>
          <w:i w:val="false"/>
          <w:caps w:val="false"/>
          <w:smallCaps w:val="false"/>
          <w:sz w:val="20"/>
        </w:rPr>
        <w:t xml:space="preserve">shares of our common stock, respectively, and these authorizations have no expiry.  Purchases may be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made from time to time, at management’s discretion, in the open market or in privately negotiated transactions, including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through the use of trading plans, as well as pursuant to accelerated share repurchase programs or other share repurchase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strategies that may include derivative financial instruments.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repurchased </w:t>
      </w:r>
      <w:r>
        <w:rPr>
          <w:rFonts w:ascii="Times New Roman;serif" w:hAnsi="Times New Roman;serif"/>
          <w:b w:val="false"/>
          <w:i w:val="false"/>
          <w:caps w:val="false"/>
          <w:smallCaps w:val="false"/>
          <w:strike w:val="false"/>
          <w:dstrike w:val="false"/>
          <w:sz w:val="20"/>
          <w:u w:val="none"/>
          <w:effect w:val="none"/>
        </w:rPr>
        <w:t>3.3 million</w:t>
      </w:r>
      <w:r>
        <w:rPr>
          <w:caps w:val="false"/>
          <w:smallCaps w:val="false"/>
          <w:sz w:val="24"/>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shares of our common stock at an average price per share of </w:t>
      </w:r>
      <w:r>
        <w:rPr>
          <w:rFonts w:ascii="Times New Roman;serif" w:hAnsi="Times New Roman;serif"/>
          <w:b w:val="false"/>
          <w:i w:val="false"/>
          <w:caps w:val="false"/>
          <w:smallCaps w:val="false"/>
          <w:strike w:val="false"/>
          <w:dstrike w:val="false"/>
          <w:sz w:val="20"/>
          <w:u w:val="none"/>
          <w:effect w:val="none"/>
        </w:rPr>
        <w:t>$212.92</w:t>
      </w:r>
      <w:r>
        <w:rPr>
          <w:rFonts w:ascii="Times New Roman;serif" w:hAnsi="Times New Roman;serif"/>
          <w:b w:val="false"/>
          <w:i w:val="false"/>
          <w:caps w:val="false"/>
          <w:smallCaps w:val="false"/>
          <w:sz w:val="20"/>
        </w:rPr>
        <w:t xml:space="preserve">.  As of the January 26, 2026 authorization, there were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total of </w:t>
      </w:r>
      <w:r>
        <w:rPr>
          <w:rFonts w:ascii="Times New Roman;serif" w:hAnsi="Times New Roman;serif"/>
          <w:b w:val="false"/>
          <w:i w:val="false"/>
          <w:caps w:val="false"/>
          <w:smallCaps w:val="false"/>
          <w:strike w:val="false"/>
          <w:dstrike w:val="false"/>
          <w:sz w:val="20"/>
          <w:u w:val="none"/>
          <w:effect w:val="none"/>
        </w:rPr>
        <w:t>6.0 million</w:t>
      </w:r>
      <w:r>
        <w:rPr>
          <w:caps w:val="false"/>
          <w:smallCaps w:val="false"/>
          <w:sz w:val="24"/>
        </w:rPr>
        <w:t xml:space="preserve"> </w:t>
      </w:r>
      <w:r>
        <w:rPr>
          <w:rFonts w:ascii="Times New Roman;serif" w:hAnsi="Times New Roman;serif"/>
          <w:b w:val="false"/>
          <w:i w:val="false"/>
          <w:caps w:val="false"/>
          <w:smallCaps w:val="false"/>
          <w:sz w:val="20"/>
        </w:rPr>
        <w:t xml:space="preserve">shares available for repurchase under our share repurchase programs.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Debt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table presents the carrying value of our outstanding indebtedness and a reconciliation to Debt as presented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on our Consolidated Balance Sheets:</w:t>
      </w:r>
    </w:p>
    <w:tbl>
      <w:tblPr>
        <w:tblW w:w="9026" w:type="dxa"/>
        <w:jc w:val="left"/>
        <w:tblInd w:w="0" w:type="dxa"/>
        <w:tblLayout w:type="fixed"/>
        <w:tblCellMar>
          <w:top w:w="28" w:type="dxa"/>
          <w:left w:w="28" w:type="dxa"/>
          <w:bottom w:w="28" w:type="dxa"/>
          <w:right w:w="28" w:type="dxa"/>
        </w:tblCellMar>
      </w:tblPr>
      <w:tblGrid>
        <w:gridCol w:w="7111"/>
        <w:gridCol w:w="109"/>
        <w:gridCol w:w="826"/>
        <w:gridCol w:w="109"/>
        <w:gridCol w:w="871"/>
      </w:tblGrid>
      <w:tr>
        <w:trPr/>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111"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Senior bank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71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Senior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1,172.0</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Junior subordinated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r>
      <w:tr>
        <w:trPr/>
        <w:tc>
          <w:tcPr>
            <w:tcW w:w="71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Junior convertible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340.6</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carrying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2,655.1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2,728.7</w:t>
            </w:r>
          </w:p>
        </w:tc>
      </w:tr>
      <w:tr>
        <w:trPr/>
        <w:tc>
          <w:tcPr>
            <w:tcW w:w="71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(37.4)</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$2,691.3</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the weighted average maturity of our outstanding senior and junior subordinated notes is 22</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years, all of which is maturing in 2030 and beyond.  Our nearest term maturity with respect to our senior and junior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subordinated notes relates to our $350.0 million senior notes due June 2030 (“the 2030 senior notes”).  See Note 5 of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Senior Bank Debt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we had a $1.25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revolver which matures on November 15, 2029.  Subject to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conditions, we may increase the commitments under the revolver by up to an additional $500.0 million.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terms of the revolver we are required to meet two financial ratio covenants.  The first of these covenants is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maximum ratio of debt to EBITDA (the “bank leverage ratio”) of 3.25x.  The second covenant is a minimum ratio of EBITDA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cash interest expense (the “bank interest coverage ratio”) of 3.00x.</w:t>
      </w:r>
      <w:r>
        <w:rPr>
          <w:caps w:val="false"/>
          <w:smallCaps w:val="false"/>
          <w:sz w:val="24"/>
        </w:rPr>
        <w:t xml:space="preserve">  </w:t>
      </w:r>
      <w:r>
        <w:rPr>
          <w:rFonts w:ascii="Times New Roman;serif" w:hAnsi="Times New Roman;serif"/>
          <w:b w:val="false"/>
          <w:i w:val="false"/>
          <w:caps w:val="false"/>
          <w:smallCaps w:val="false"/>
          <w:sz w:val="20"/>
        </w:rPr>
        <w:t xml:space="preserve">For purposes of calculating these ratios, share-based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compensation and certain Affiliate equity expenses, among other specified expenses, charges, and costs, are added back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Adjusted EBITDA.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bank leverage and bank interest coverage ratios were </w:t>
      </w:r>
      <w:r>
        <w:rPr>
          <w:rFonts w:ascii="Times New Roman;serif" w:hAnsi="Times New Roman;serif"/>
          <w:b w:val="false"/>
          <w:i w:val="false"/>
          <w:caps w:val="false"/>
          <w:smallCaps w:val="false"/>
          <w:strike w:val="false"/>
          <w:dstrike w:val="false"/>
          <w:sz w:val="20"/>
          <w:u w:val="none"/>
          <w:effect w:val="none"/>
        </w:rPr>
        <w:t>0.9x</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8.5x</w:t>
      </w:r>
      <w:r>
        <w:rPr>
          <w:rFonts w:ascii="Times New Roman;serif" w:hAnsi="Times New Roman;serif"/>
          <w:b w:val="false"/>
          <w:i w:val="false"/>
          <w:caps w:val="false"/>
          <w:smallCaps w:val="false"/>
          <w:sz w:val="20"/>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respectively.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we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outstanding borrowings under the revolver, and we could borrow all remaining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capacity and maintain compliance with all of the terms of the revolver.  As of the date of this Annual Report on Form 10-K,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had outstanding borrowings of $475.0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under the revolver.</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 xml:space="preserve">Senior Notes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the third quarter of 2025, our </w:t>
      </w:r>
      <w:r>
        <w:rPr>
          <w:rFonts w:ascii="Times New Roman;serif" w:hAnsi="Times New Roman;serif"/>
          <w:b w:val="false"/>
          <w:i w:val="false"/>
          <w:caps w:val="false"/>
          <w:smallCaps w:val="false"/>
          <w:strike w:val="false"/>
          <w:dstrike w:val="false"/>
          <w:sz w:val="20"/>
          <w:u w:val="none"/>
          <w:effect w:val="none"/>
        </w:rPr>
        <w:t>$350.0 million</w:t>
      </w:r>
      <w:r>
        <w:rPr>
          <w:caps w:val="false"/>
          <w:smallCaps w:val="false"/>
          <w:sz w:val="24"/>
        </w:rPr>
        <w:t xml:space="preserve"> </w:t>
      </w:r>
      <w:r>
        <w:rPr>
          <w:rFonts w:ascii="Times New Roman;serif" w:hAnsi="Times New Roman;serif"/>
          <w:b w:val="false"/>
          <w:i w:val="false"/>
          <w:caps w:val="false"/>
          <w:smallCaps w:val="false"/>
          <w:sz w:val="20"/>
        </w:rPr>
        <w:t>3.50% senior notes matured and were fully repaid.</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senior notes outstanding, the respective principal terms of which are presented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described below:</w:t>
      </w:r>
    </w:p>
    <w:tbl>
      <w:tblPr>
        <w:tblW w:w="9421" w:type="dxa"/>
        <w:jc w:val="left"/>
        <w:tblInd w:w="0" w:type="dxa"/>
        <w:tblLayout w:type="fixed"/>
        <w:tblCellMar>
          <w:top w:w="28" w:type="dxa"/>
          <w:left w:w="28" w:type="dxa"/>
          <w:bottom w:w="28" w:type="dxa"/>
          <w:right w:w="28" w:type="dxa"/>
        </w:tblCellMar>
      </w:tblPr>
      <w:tblGrid>
        <w:gridCol w:w="5086"/>
        <w:gridCol w:w="109"/>
        <w:gridCol w:w="1291"/>
        <w:gridCol w:w="109"/>
        <w:gridCol w:w="1291"/>
        <w:gridCol w:w="109"/>
        <w:gridCol w:w="1426"/>
      </w:tblGrid>
      <w:tr>
        <w:trPr/>
        <w:tc>
          <w:tcPr>
            <w:tcW w:w="5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2036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Senior Notes</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December 2025</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2036</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Par value (in millions)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$425.0</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December 11, 2025, we issued $425.0 million of 2036 senior unsecured notes with a maturity date of February 15,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2036 (the “2036 senior notes”).  Interest is payable beginning August 15,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addition to customary event of default provisions, the indenture governing the senior notes, including the applicable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supplemental indentures with respect to the 2030, 2034, and 2036 senior notes, limits our ability to consolidate, merge, or sell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all or substantially all of our assets, and requires us to make an offer to repurchase the applicable senior notes at 101%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principal amount (plus any accrued and unpaid interest), upon certain change of control triggering events.  The senior notes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may be redeemed, in whole or in part, at a make-whole redemption price (plus accrued and unpaid interest), at any time prior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March 15, 2030, in the case of the 2030 senior notes, at any time prior to May 20, 2034, in the case of the 2034 senior notes,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at any time prior to November 15, 2035, in the case of the 2036 senior notes.</w:t>
      </w:r>
      <w:r>
        <w:rPr>
          <w:caps w:val="false"/>
          <w:smallCaps w:val="false"/>
          <w:sz w:val="24"/>
        </w:rPr>
        <w:t xml:space="preserve"> </w:t>
      </w:r>
      <w:r>
        <w:rPr>
          <w:rFonts w:ascii="Times New Roman;serif" w:hAnsi="Times New Roman;serif"/>
          <w:b w:val="false"/>
          <w:i w:val="false"/>
          <w:caps w:val="false"/>
          <w:smallCaps w:val="false"/>
          <w:strike w:val="false"/>
          <w:dstrike w:val="false"/>
          <w:sz w:val="20"/>
          <w:u w:val="none"/>
          <w:effect w:val="none"/>
        </w:rPr>
        <w:t xml:space="preserve">In addition, the 2030, 2034, and 2036 senior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may be redeemed at par (plus accrued and unpaid interest), in whole or in part, at any time, on or after March 15, 2030,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May 20, 2034, and November 15, 2035, respectively</w:t>
      </w:r>
      <w:r>
        <w:rPr>
          <w:rFonts w:ascii="Times New Roman;serif" w:hAnsi="Times New Roman;serif"/>
          <w:b w:val="false"/>
          <w:i w:val="false"/>
          <w:caps w:val="false"/>
          <w:smallCaps w:val="false"/>
          <w:sz w:val="20"/>
        </w:rPr>
        <w:t xml:space="preserve">.  We may also repurchase senior notes in the open market or in privately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negotiated transactions from time to time at management’s discretion.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We used a majority of the net proceeds from the 2036 senior notes to settle our conversion obligations with respect to our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junior convertible securities in January 2026, as further described below.</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Junior Subordinated Notes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junior subordinated notes outstanding, the respective principal terms of which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presented and described below:  </w:t>
      </w:r>
    </w:p>
    <w:tbl>
      <w:tblPr>
        <w:tblW w:w="10205" w:type="dxa"/>
        <w:jc w:val="left"/>
        <w:tblInd w:w="0" w:type="dxa"/>
        <w:tblLayout w:type="fixed"/>
        <w:tblCellMar>
          <w:top w:w="28" w:type="dxa"/>
          <w:left w:w="28" w:type="dxa"/>
          <w:bottom w:w="28" w:type="dxa"/>
          <w:right w:w="28" w:type="dxa"/>
        </w:tblCellMar>
      </w:tblPr>
      <w:tblGrid>
        <w:gridCol w:w="3322"/>
        <w:gridCol w:w="109"/>
        <w:gridCol w:w="1600"/>
        <w:gridCol w:w="109"/>
        <w:gridCol w:w="1600"/>
        <w:gridCol w:w="109"/>
        <w:gridCol w:w="1600"/>
        <w:gridCol w:w="109"/>
        <w:gridCol w:w="1647"/>
      </w:tblGrid>
      <w:tr>
        <w:trPr/>
        <w:tc>
          <w:tcPr>
            <w:tcW w:w="3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r>
      <w:tr>
        <w:trPr/>
        <w:tc>
          <w:tcPr>
            <w:tcW w:w="3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2059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0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47"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2064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r>
      <w:tr>
        <w:trPr/>
        <w:tc>
          <w:tcPr>
            <w:tcW w:w="332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July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2024</w:t>
            </w:r>
          </w:p>
        </w:tc>
      </w:tr>
      <w:tr>
        <w:trPr/>
        <w:tc>
          <w:tcPr>
            <w:tcW w:w="3322"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2064</w:t>
            </w:r>
          </w:p>
        </w:tc>
      </w:tr>
      <w:tr>
        <w:trPr/>
        <w:tc>
          <w:tcPr>
            <w:tcW w:w="332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Par value (in millions)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$450.0</w:t>
            </w:r>
          </w:p>
        </w:tc>
      </w:tr>
      <w:tr>
        <w:trPr/>
        <w:tc>
          <w:tcPr>
            <w:tcW w:w="3322"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r>
      <w:tr>
        <w:trPr/>
        <w:tc>
          <w:tcPr>
            <w:tcW w:w="332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0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r>
      <w:tr>
        <w:trPr/>
        <w:tc>
          <w:tcPr>
            <w:tcW w:w="3322"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NYSE Symbol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0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MGRE</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each of the 2059 and 2060 junior subordinated notes could be redeemed at any time, in whole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part.  The other junior subordinated notes may be redeemed at any time, in whole or in part, on or after September 30, 2026,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case of the 2061 junior subordinated notes, and on or after March 30, 2029, in the case of the 2064 junior subordinated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notes.  In each case, the junior subordinated notes may be redeemed at </w:t>
      </w:r>
      <w:r>
        <w:rPr>
          <w:rFonts w:ascii="Times New Roman;serif" w:hAnsi="Times New Roman;serif"/>
          <w:b w:val="false"/>
          <w:i w:val="false"/>
          <w:caps w:val="false"/>
          <w:smallCaps w:val="false"/>
          <w:strike w:val="false"/>
          <w:dstrike w:val="false"/>
          <w:sz w:val="20"/>
          <w:u w:val="none"/>
          <w:effect w:val="none"/>
        </w:rPr>
        <w:t>100%</w:t>
      </w:r>
      <w:r>
        <w:rPr>
          <w:caps w:val="false"/>
          <w:smallCaps w:val="false"/>
          <w:sz w:val="24"/>
        </w:rPr>
        <w:t xml:space="preserve"> </w:t>
      </w:r>
      <w:r>
        <w:rPr>
          <w:rFonts w:ascii="Times New Roman;serif" w:hAnsi="Times New Roman;serif"/>
          <w:b w:val="false"/>
          <w:i w:val="false"/>
          <w:caps w:val="false"/>
          <w:smallCaps w:val="false"/>
          <w:sz w:val="20"/>
        </w:rPr>
        <w:t xml:space="preserve">of the principal amount of the notes being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redeemed, plus any accrued and unpaid interest thereon.  Prior to the applicable redemption date, at our option, the applicable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junior subordinated notes may also be redeemed, in whole but not in part, at </w:t>
      </w:r>
      <w:r>
        <w:rPr>
          <w:rFonts w:ascii="Times New Roman;serif" w:hAnsi="Times New Roman;serif"/>
          <w:b w:val="false"/>
          <w:i w:val="false"/>
          <w:caps w:val="false"/>
          <w:smallCaps w:val="false"/>
          <w:strike w:val="false"/>
          <w:dstrike w:val="false"/>
          <w:sz w:val="20"/>
          <w:u w:val="none"/>
          <w:effect w:val="none"/>
        </w:rPr>
        <w:t>100%</w:t>
      </w:r>
      <w:r>
        <w:rPr>
          <w:caps w:val="false"/>
          <w:smallCaps w:val="false"/>
          <w:sz w:val="24"/>
        </w:rPr>
        <w:t xml:space="preserve"> </w:t>
      </w:r>
      <w:r>
        <w:rPr>
          <w:rFonts w:ascii="Times New Roman;serif" w:hAnsi="Times New Roman;serif"/>
          <w:b w:val="false"/>
          <w:i w:val="false"/>
          <w:caps w:val="false"/>
          <w:smallCaps w:val="false"/>
          <w:sz w:val="20"/>
        </w:rPr>
        <w:t xml:space="preserve">of the principal amount, plus any accrued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and unpaid interest, if certain changes in tax laws, regulations, or interpretations occur; or at </w:t>
      </w:r>
      <w:r>
        <w:rPr>
          <w:rFonts w:ascii="Times New Roman;serif" w:hAnsi="Times New Roman;serif"/>
          <w:b w:val="false"/>
          <w:i w:val="false"/>
          <w:caps w:val="false"/>
          <w:smallCaps w:val="false"/>
          <w:strike w:val="false"/>
          <w:dstrike w:val="false"/>
          <w:sz w:val="20"/>
          <w:u w:val="none"/>
          <w:effect w:val="none"/>
        </w:rPr>
        <w:t>102%</w:t>
      </w:r>
      <w:r>
        <w:rPr>
          <w:caps w:val="false"/>
          <w:smallCaps w:val="false"/>
          <w:sz w:val="24"/>
        </w:rPr>
        <w:t xml:space="preserve"> </w:t>
      </w:r>
      <w:r>
        <w:rPr>
          <w:rFonts w:ascii="Times New Roman;serif" w:hAnsi="Times New Roman;serif"/>
          <w:b w:val="false"/>
          <w:i w:val="false"/>
          <w:caps w:val="false"/>
          <w:smallCaps w:val="false"/>
          <w:sz w:val="20"/>
        </w:rPr>
        <w:t xml:space="preserve">of the principal amount, plus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any accrued and unpaid interest, if a rating agency makes certain changes relating to the equity credit criteria for securities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features similar to the applicable notes.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Junior Convertible Securities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had </w:t>
      </w:r>
      <w:r>
        <w:rPr>
          <w:rFonts w:ascii="Times New Roman;serif" w:hAnsi="Times New Roman;serif"/>
          <w:b w:val="false"/>
          <w:i w:val="false"/>
          <w:caps w:val="false"/>
          <w:smallCaps w:val="false"/>
          <w:strike w:val="false"/>
          <w:dstrike w:val="false"/>
          <w:sz w:val="20"/>
          <w:u w:val="none"/>
          <w:effect w:val="none"/>
        </w:rPr>
        <w:t>$340.6 million</w:t>
      </w:r>
      <w:r>
        <w:rPr>
          <w:caps w:val="false"/>
          <w:smallCaps w:val="false"/>
          <w:sz w:val="24"/>
        </w:rPr>
        <w:t xml:space="preserve"> </w:t>
      </w:r>
      <w:r>
        <w:rPr>
          <w:rFonts w:ascii="Times New Roman;serif" w:hAnsi="Times New Roman;serif"/>
          <w:b w:val="false"/>
          <w:i w:val="false"/>
          <w:caps w:val="false"/>
          <w:smallCaps w:val="false"/>
          <w:sz w:val="20"/>
        </w:rPr>
        <w:t xml:space="preserve">of principal outstanding on our junior convertible trust preferred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outstanding (the “junior convertible securities”).  Prior to </w:t>
      </w:r>
      <w:r>
        <w:rPr>
          <w:rFonts w:ascii="Times New Roman;serif" w:hAnsi="Times New Roman;serif"/>
          <w:b w:val="false"/>
          <w:i w:val="false"/>
          <w:caps w:val="false"/>
          <w:smallCaps w:val="false"/>
          <w:strike w:val="false"/>
          <w:dstrike w:val="false"/>
          <w:sz w:val="20"/>
          <w:u w:val="none"/>
          <w:effect w:val="none"/>
        </w:rPr>
        <w:t>their redemption</w:t>
      </w:r>
      <w:r>
        <w:rPr>
          <w:rFonts w:ascii="Times New Roman;serif" w:hAnsi="Times New Roman;serif"/>
          <w:b w:val="false"/>
          <w:i w:val="false"/>
          <w:caps w:val="false"/>
          <w:smallCaps w:val="false"/>
          <w:sz w:val="20"/>
        </w:rPr>
        <w:t xml:space="preserve">, as described below, the junior convertible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bore interest at a rate of </w:t>
      </w:r>
      <w:r>
        <w:rPr>
          <w:rFonts w:ascii="Times New Roman;serif" w:hAnsi="Times New Roman;serif"/>
          <w:b w:val="false"/>
          <w:i w:val="false"/>
          <w:caps w:val="false"/>
          <w:smallCaps w:val="false"/>
          <w:strike w:val="false"/>
          <w:dstrike w:val="false"/>
          <w:sz w:val="20"/>
          <w:u w:val="none"/>
          <w:effect w:val="none"/>
        </w:rPr>
        <w:t>5.15%</w:t>
      </w:r>
      <w:r>
        <w:rPr>
          <w:caps w:val="false"/>
          <w:smallCaps w:val="false"/>
          <w:sz w:val="24"/>
        </w:rPr>
        <w:t xml:space="preserve"> </w:t>
      </w:r>
      <w:r>
        <w:rPr>
          <w:rFonts w:ascii="Times New Roman;serif" w:hAnsi="Times New Roman;serif"/>
          <w:b w:val="false"/>
          <w:i w:val="false"/>
          <w:caps w:val="false"/>
          <w:smallCaps w:val="false"/>
          <w:sz w:val="20"/>
        </w:rPr>
        <w:t xml:space="preserve">per annum, which interest payments were payable quarterly in cash.  The junior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convertible securities were considered contingent payment debt instruments under federal income tax regulations, which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required us to deduct interest in an amount greater than its reported interest expense (“excess interest expense deductions”).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2025, pursuant to the terms of the junior convertible securities, we adjusted the conversion rate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to 0.2582 shares of common stock per $50.00 junior convertible security, equivalent to an adjusted conversion price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$193.65 per share.  The adjustment was the result of our cumulative declared dividends on our common stock since the prior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adjustment.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December 8, 2025, we delivered notice that we had elected to redeem all of the outstanding junior convertible securities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December 29, 2025 (the “Redemption Date”), and announced our intention to settle any and all conversion obligations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cash.  Substantially all holders of the junior convertible securities delivered requests to convert their securities prior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Redemption Date.  On December 15, 2025, we made an irrevocable election to </w:t>
      </w:r>
      <w:r>
        <w:rPr>
          <w:rFonts w:ascii="Times New Roman;serif" w:hAnsi="Times New Roman;serif"/>
          <w:b w:val="false"/>
          <w:i w:val="false"/>
          <w:caps w:val="false"/>
          <w:smallCaps w:val="false"/>
          <w:strike w:val="false"/>
          <w:dstrike w:val="false"/>
          <w:sz w:val="20"/>
          <w:u w:val="none"/>
          <w:effect w:val="none"/>
        </w:rPr>
        <w:t>settle our conversion obligations</w:t>
      </w:r>
      <w:r>
        <w:rPr>
          <w:caps w:val="false"/>
          <w:smallCaps w:val="false"/>
          <w:sz w:val="24"/>
        </w:rPr>
        <w:t xml:space="preserve"> </w:t>
      </w:r>
      <w:r>
        <w:rPr>
          <w:rFonts w:ascii="Times New Roman;serif" w:hAnsi="Times New Roman;serif"/>
          <w:b w:val="false"/>
          <w:i w:val="false"/>
          <w:caps w:val="false"/>
          <w:smallCaps w:val="false"/>
          <w:sz w:val="20"/>
        </w:rPr>
        <w:t xml:space="preserve">in cash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to the daily volume weighted average price of our common stock during each applicable ten trading day conversion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reference period.  These conversions resulted in a settlement value in excess of the associated carrying value (the “conversion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premium”).  As of December 31, 2025, the conversion premium of </w:t>
      </w:r>
      <w:r>
        <w:rPr>
          <w:rFonts w:ascii="Times New Roman;serif" w:hAnsi="Times New Roman;serif"/>
          <w:b w:val="false"/>
          <w:i w:val="false"/>
          <w:caps w:val="false"/>
          <w:smallCaps w:val="false"/>
          <w:strike w:val="false"/>
          <w:dstrike w:val="false"/>
          <w:sz w:val="20"/>
          <w:u w:val="none"/>
          <w:effect w:val="none"/>
        </w:rPr>
        <w:t>$155.5 million</w:t>
      </w:r>
      <w:r>
        <w:rPr>
          <w:caps w:val="false"/>
          <w:smallCaps w:val="false"/>
          <w:sz w:val="24"/>
        </w:rPr>
        <w:t xml:space="preserve"> </w:t>
      </w:r>
      <w:r>
        <w:rPr>
          <w:rFonts w:ascii="Times New Roman;serif" w:hAnsi="Times New Roman;serif"/>
          <w:b w:val="false"/>
          <w:i w:val="false"/>
          <w:caps w:val="false"/>
          <w:smallCaps w:val="false"/>
          <w:sz w:val="20"/>
        </w:rPr>
        <w:t xml:space="preserve">was recorded within Other liabilities, with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corresponding reduction to Additional paid-in capital on the Consolidated Balance Sheets.  In addition, the conversion resulted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 a reduction to Deferred tax liability (net) on the Consolidated Balance Sheets of </w:t>
      </w:r>
      <w:r>
        <w:rPr>
          <w:rFonts w:ascii="Times New Roman;serif" w:hAnsi="Times New Roman;serif"/>
          <w:b w:val="false"/>
          <w:i w:val="false"/>
          <w:caps w:val="false"/>
          <w:smallCaps w:val="false"/>
          <w:strike w:val="false"/>
          <w:dstrike w:val="false"/>
          <w:sz w:val="20"/>
          <w:u w:val="none"/>
          <w:effect w:val="none"/>
        </w:rPr>
        <w:t>$38.9 million</w:t>
      </w:r>
      <w:r>
        <w:rPr>
          <w:rFonts w:ascii="Times New Roman;serif" w:hAnsi="Times New Roman;serif"/>
          <w:b w:val="false"/>
          <w:i w:val="false"/>
          <w:caps w:val="false"/>
          <w:smallCaps w:val="false"/>
          <w:sz w:val="20"/>
        </w:rPr>
        <w:t xml:space="preserve">, with a corresponding increase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Additional paid-in capital.  Our election to settle each applicable conversion premium in cash using a ten-day reference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period was accounted for as a forward sale contract, which resulted in a </w:t>
      </w:r>
      <w:r>
        <w:rPr>
          <w:rFonts w:ascii="Times New Roman;serif" w:hAnsi="Times New Roman;serif"/>
          <w:b w:val="false"/>
          <w:i w:val="false"/>
          <w:caps w:val="false"/>
          <w:smallCaps w:val="false"/>
          <w:strike w:val="false"/>
          <w:dstrike w:val="false"/>
          <w:sz w:val="20"/>
          <w:u w:val="none"/>
          <w:effect w:val="none"/>
        </w:rPr>
        <w:t>$9.2 million</w:t>
      </w:r>
      <w:r>
        <w:rPr>
          <w:caps w:val="false"/>
          <w:smallCaps w:val="false"/>
          <w:sz w:val="24"/>
        </w:rPr>
        <w:t xml:space="preserve"> </w:t>
      </w:r>
      <w:r>
        <w:rPr>
          <w:rFonts w:ascii="Times New Roman;serif" w:hAnsi="Times New Roman;serif"/>
          <w:b w:val="false"/>
          <w:i w:val="false"/>
          <w:caps w:val="false"/>
          <w:smallCaps w:val="false"/>
          <w:sz w:val="20"/>
        </w:rPr>
        <w:t xml:space="preserve">expense recorded in Other expenses (net)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our Consolidated Statements of Income, in the fourth quarter of 2025.</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On the Redemption Date, we redeemed </w:t>
      </w:r>
      <w:r>
        <w:rPr>
          <w:rFonts w:ascii="Times New Roman;serif" w:hAnsi="Times New Roman;serif"/>
          <w:b w:val="false"/>
          <w:i w:val="false"/>
          <w:caps w:val="false"/>
          <w:smallCaps w:val="false"/>
          <w:strike w:val="false"/>
          <w:dstrike w:val="false"/>
          <w:sz w:val="20"/>
          <w:u w:val="none"/>
          <w:effect w:val="none"/>
        </w:rPr>
        <w:t>$1.1 million</w:t>
      </w:r>
      <w:r>
        <w:rPr>
          <w:caps w:val="false"/>
          <w:smallCaps w:val="false"/>
          <w:sz w:val="24"/>
        </w:rPr>
        <w:t xml:space="preserve"> </w:t>
      </w:r>
      <w:r>
        <w:rPr>
          <w:rFonts w:ascii="Times New Roman;serif" w:hAnsi="Times New Roman;serif"/>
          <w:b w:val="false"/>
          <w:i w:val="false"/>
          <w:caps w:val="false"/>
          <w:smallCaps w:val="false"/>
          <w:sz w:val="20"/>
        </w:rPr>
        <w:t xml:space="preserve">of junior convertible securities which were not converted, reflecting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principal amount of the redeemed securities, plus accrued and unpaid interest, up to, but not including, the Redemption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Date.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January 2026</w:t>
      </w:r>
      <w:r>
        <w:rPr>
          <w:rFonts w:ascii="Times New Roman;serif" w:hAnsi="Times New Roman;serif"/>
          <w:b w:val="false"/>
          <w:i w:val="false"/>
          <w:caps w:val="false"/>
          <w:smallCaps w:val="false"/>
          <w:sz w:val="20"/>
        </w:rPr>
        <w:t xml:space="preserve">, we settled each of our applicable conversion obligations in cash for an aggregate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$514.6 million</w:t>
      </w:r>
      <w:r>
        <w:rPr>
          <w:caps w:val="false"/>
          <w:smallCaps w:val="false"/>
          <w:sz w:val="24"/>
        </w:rPr>
        <w:t xml:space="preserve"> </w:t>
      </w:r>
      <w:r>
        <w:rPr>
          <w:rFonts w:ascii="Times New Roman;serif" w:hAnsi="Times New Roman;serif"/>
          <w:b w:val="false"/>
          <w:i w:val="false"/>
          <w:caps w:val="false"/>
          <w:smallCaps w:val="false"/>
          <w:sz w:val="20"/>
        </w:rPr>
        <w:t xml:space="preserve">which resulted in an incremental expense related to the forward sale contract of </w:t>
      </w:r>
      <w:r>
        <w:rPr>
          <w:rFonts w:ascii="Times New Roman;serif" w:hAnsi="Times New Roman;serif"/>
          <w:b w:val="false"/>
          <w:i w:val="false"/>
          <w:caps w:val="false"/>
          <w:smallCaps w:val="false"/>
          <w:strike w:val="false"/>
          <w:dstrike w:val="false"/>
          <w:sz w:val="20"/>
          <w:u w:val="none"/>
          <w:effect w:val="none"/>
        </w:rPr>
        <w:t>$9.3 million</w:t>
      </w:r>
      <w:r>
        <w:rPr>
          <w:rFonts w:ascii="Times New Roman;serif" w:hAnsi="Times New Roman;serif"/>
          <w:b w:val="false"/>
          <w:i w:val="false"/>
          <w:caps w:val="false"/>
          <w:smallCaps w:val="false"/>
          <w:sz w:val="20"/>
        </w:rPr>
        <w:t xml:space="preserve">.  As a result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settlement of these securities, we expect to incur a current cash tax liability of approximately </w:t>
      </w:r>
      <w:r>
        <w:rPr>
          <w:rFonts w:ascii="Times New Roman;serif" w:hAnsi="Times New Roman;serif"/>
          <w:b w:val="false"/>
          <w:i w:val="false"/>
          <w:caps w:val="false"/>
          <w:smallCaps w:val="false"/>
          <w:strike w:val="false"/>
          <w:dstrike w:val="false"/>
          <w:sz w:val="20"/>
          <w:u w:val="none"/>
          <w:effect w:val="none"/>
        </w:rPr>
        <w:t>$56.0 million</w:t>
      </w:r>
      <w:r>
        <w:rPr>
          <w:caps w:val="false"/>
          <w:smallCaps w:val="false"/>
          <w:sz w:val="24"/>
        </w:rPr>
        <w:t xml:space="preserve"> </w:t>
      </w:r>
      <w:r>
        <w:rPr>
          <w:rFonts w:ascii="Times New Roman;serif" w:hAnsi="Times New Roman;serif"/>
          <w:b w:val="false"/>
          <w:i w:val="false"/>
          <w:caps w:val="false"/>
          <w:smallCaps w:val="false"/>
          <w:sz w:val="20"/>
        </w:rPr>
        <w:t xml:space="preserve">in 2026, reflective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recapture of excess interest expense deductions.  As of the date of this Annual Report on Form 10-K, no junior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convertible securities 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Equity Distribution Program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first quarter of 2025, we entered into an equity distribution agreement and forward sale agreements with several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major securities firms under which we may, from time to time, issue and sell shares of our common stock (immediately or on a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forward basis) having an aggregate sales price of up to </w:t>
      </w:r>
      <w:r>
        <w:rPr>
          <w:rFonts w:ascii="Times New Roman;serif" w:hAnsi="Times New Roman;serif"/>
          <w:b w:val="false"/>
          <w:i w:val="false"/>
          <w:caps w:val="false"/>
          <w:smallCaps w:val="false"/>
          <w:strike w:val="false"/>
          <w:dstrike w:val="false"/>
          <w:sz w:val="20"/>
          <w:u w:val="none"/>
          <w:effect w:val="none"/>
        </w:rPr>
        <w:t>$500.0 million</w:t>
      </w:r>
      <w:r>
        <w:rPr>
          <w:caps w:val="false"/>
          <w:smallCaps w:val="false"/>
          <w:sz w:val="24"/>
        </w:rPr>
        <w:t xml:space="preserve"> </w:t>
      </w:r>
      <w:r>
        <w:rPr>
          <w:rFonts w:ascii="Times New Roman;serif" w:hAnsi="Times New Roman;serif"/>
          <w:b w:val="false"/>
          <w:i w:val="false"/>
          <w:caps w:val="false"/>
          <w:smallCaps w:val="false"/>
          <w:sz w:val="20"/>
        </w:rPr>
        <w:t xml:space="preserve">(the “equity distribution program”).  This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distribution program superseded and replaced our prior equity distribution program.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no</w:t>
      </w:r>
      <w:r>
        <w:rPr>
          <w:caps w:val="false"/>
          <w:smallCaps w:val="false"/>
          <w:sz w:val="24"/>
        </w:rPr>
        <w:t xml:space="preserve"> </w:t>
      </w:r>
      <w:r>
        <w:rPr>
          <w:rFonts w:ascii="Times New Roman;serif" w:hAnsi="Times New Roman;serif"/>
          <w:b w:val="false"/>
          <w:i w:val="false"/>
          <w:caps w:val="false"/>
          <w:smallCaps w:val="false"/>
          <w:sz w:val="20"/>
        </w:rPr>
        <w:t xml:space="preserve">sales had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occurred under the equity distribution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Commitments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 Note 6 of our Consolidated Financial Statements.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Other Contingent Commitments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 Notes 3 and 6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Leases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our lease obligations were </w:t>
      </w:r>
      <w:r>
        <w:rPr>
          <w:rFonts w:ascii="Times New Roman;serif" w:hAnsi="Times New Roman;serif"/>
          <w:b w:val="false"/>
          <w:i w:val="false"/>
          <w:caps w:val="false"/>
          <w:smallCaps w:val="false"/>
          <w:strike w:val="false"/>
          <w:dstrike w:val="false"/>
          <w:sz w:val="20"/>
          <w:u w:val="none"/>
          <w:effect w:val="none"/>
        </w:rPr>
        <w:t>$30.8 million</w:t>
      </w:r>
      <w:r>
        <w:rPr>
          <w:caps w:val="false"/>
          <w:smallCaps w:val="false"/>
          <w:sz w:val="24"/>
        </w:rPr>
        <w:t xml:space="preserve"> </w:t>
      </w:r>
      <w:r>
        <w:rPr>
          <w:rFonts w:ascii="Times New Roman;serif" w:hAnsi="Times New Roman;serif"/>
          <w:b w:val="false"/>
          <w:i w:val="false"/>
          <w:caps w:val="false"/>
          <w:smallCaps w:val="false"/>
          <w:sz w:val="20"/>
        </w:rPr>
        <w:t xml:space="preserve">through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$53.4 million</w:t>
      </w:r>
      <w:r>
        <w:rPr>
          <w:caps w:val="false"/>
          <w:smallCaps w:val="false"/>
          <w:sz w:val="24"/>
        </w:rPr>
        <w:t xml:space="preserve"> </w:t>
      </w:r>
      <w:r>
        <w:rPr>
          <w:rFonts w:ascii="Times New Roman;serif" w:hAnsi="Times New Roman;serif"/>
          <w:b w:val="false"/>
          <w:i w:val="false"/>
          <w:caps w:val="false"/>
          <w:smallCaps w:val="false"/>
          <w:sz w:val="20"/>
        </w:rPr>
        <w:t xml:space="preserve">from 2027 through 2028,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$48.0 million</w:t>
      </w:r>
      <w:r>
        <w:rPr>
          <w:caps w:val="false"/>
          <w:smallCaps w:val="false"/>
          <w:sz w:val="24"/>
        </w:rPr>
        <w:t xml:space="preserve"> </w:t>
      </w:r>
      <w:r>
        <w:rPr>
          <w:rFonts w:ascii="Times New Roman;serif" w:hAnsi="Times New Roman;serif"/>
          <w:b w:val="false"/>
          <w:i w:val="false"/>
          <w:caps w:val="false"/>
          <w:smallCaps w:val="false"/>
          <w:sz w:val="20"/>
        </w:rPr>
        <w:t xml:space="preserve">from 2029 through 2030, and </w:t>
      </w:r>
      <w:r>
        <w:rPr>
          <w:rFonts w:ascii="Times New Roman;serif" w:hAnsi="Times New Roman;serif"/>
          <w:b w:val="false"/>
          <w:i w:val="false"/>
          <w:caps w:val="false"/>
          <w:smallCaps w:val="false"/>
          <w:strike w:val="false"/>
          <w:dstrike w:val="false"/>
          <w:sz w:val="20"/>
          <w:u w:val="none"/>
          <w:effect w:val="none"/>
        </w:rPr>
        <w:t>$48.5 million</w:t>
      </w:r>
      <w:r>
        <w:rPr>
          <w:caps w:val="false"/>
          <w:smallCaps w:val="false"/>
          <w:sz w:val="24"/>
        </w:rPr>
        <w:t xml:space="preserve"> </w:t>
      </w:r>
      <w:r>
        <w:rPr>
          <w:rFonts w:ascii="Times New Roman;serif" w:hAnsi="Times New Roman;serif"/>
          <w:b w:val="false"/>
          <w:i w:val="false"/>
          <w:caps w:val="false"/>
          <w:smallCaps w:val="false"/>
          <w:sz w:val="20"/>
        </w:rPr>
        <w:t xml:space="preserve">thereafter.  The portion of these lease obligations attributable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controlling interest were </w:t>
      </w:r>
      <w:r>
        <w:rPr>
          <w:rFonts w:ascii="Times New Roman;serif" w:hAnsi="Times New Roman;serif"/>
          <w:b w:val="false"/>
          <w:i w:val="false"/>
          <w:caps w:val="false"/>
          <w:smallCaps w:val="false"/>
          <w:strike w:val="false"/>
          <w:dstrike w:val="false"/>
          <w:sz w:val="20"/>
          <w:u w:val="none"/>
          <w:effect w:val="none"/>
        </w:rPr>
        <w:t>$5.8 million</w:t>
      </w:r>
      <w:r>
        <w:rPr>
          <w:caps w:val="false"/>
          <w:smallCaps w:val="false"/>
          <w:sz w:val="24"/>
        </w:rPr>
        <w:t xml:space="preserve"> </w:t>
      </w:r>
      <w:r>
        <w:rPr>
          <w:rFonts w:ascii="Times New Roman;serif" w:hAnsi="Times New Roman;serif"/>
          <w:b w:val="false"/>
          <w:i w:val="false"/>
          <w:caps w:val="false"/>
          <w:smallCaps w:val="false"/>
          <w:sz w:val="20"/>
        </w:rPr>
        <w:t xml:space="preserve">through </w:t>
      </w:r>
      <w:r>
        <w:rPr>
          <w:rFonts w:ascii="Times New Roman;serif" w:hAnsi="Times New Roman;serif"/>
          <w:b w:val="false"/>
          <w:i w:val="false"/>
          <w:caps w:val="false"/>
          <w:smallCaps w:val="false"/>
          <w:strike w:val="false"/>
          <w:dstrike w:val="false"/>
          <w:sz w:val="20"/>
          <w:u w:val="none"/>
          <w:effect w:val="none"/>
        </w:rPr>
        <w:t>2026</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$6.7 million</w:t>
      </w:r>
      <w:r>
        <w:rPr>
          <w:caps w:val="false"/>
          <w:smallCaps w:val="false"/>
          <w:sz w:val="24"/>
        </w:rPr>
        <w:t xml:space="preserve"> </w:t>
      </w:r>
      <w:r>
        <w:rPr>
          <w:rFonts w:ascii="Times New Roman;serif" w:hAnsi="Times New Roman;serif"/>
          <w:b w:val="false"/>
          <w:i w:val="false"/>
          <w:caps w:val="false"/>
          <w:smallCaps w:val="false"/>
          <w:sz w:val="20"/>
        </w:rPr>
        <w:t xml:space="preserve">from 2027 through 2028, </w:t>
      </w:r>
      <w:r>
        <w:rPr>
          <w:rFonts w:ascii="Times New Roman;serif" w:hAnsi="Times New Roman;serif"/>
          <w:b w:val="false"/>
          <w:i w:val="false"/>
          <w:caps w:val="false"/>
          <w:smallCaps w:val="false"/>
          <w:strike w:val="false"/>
          <w:dstrike w:val="false"/>
          <w:sz w:val="20"/>
          <w:u w:val="none"/>
          <w:effect w:val="none"/>
        </w:rPr>
        <w:t>$6.6 million</w:t>
      </w:r>
      <w:r>
        <w:rPr>
          <w:caps w:val="false"/>
          <w:smallCaps w:val="false"/>
          <w:sz w:val="24"/>
        </w:rPr>
        <w:t xml:space="preserve"> </w:t>
      </w:r>
      <w:r>
        <w:rPr>
          <w:rFonts w:ascii="Times New Roman;serif" w:hAnsi="Times New Roman;serif"/>
          <w:b w:val="false"/>
          <w:i w:val="false"/>
          <w:caps w:val="false"/>
          <w:smallCaps w:val="false"/>
          <w:sz w:val="20"/>
        </w:rPr>
        <w:t xml:space="preserve">from 2029 through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2030, and </w:t>
      </w:r>
      <w:r>
        <w:rPr>
          <w:rFonts w:ascii="Times New Roman;serif" w:hAnsi="Times New Roman;serif"/>
          <w:b w:val="false"/>
          <w:i w:val="false"/>
          <w:caps w:val="false"/>
          <w:smallCaps w:val="false"/>
          <w:strike w:val="false"/>
          <w:dstrike w:val="false"/>
          <w:sz w:val="20"/>
          <w:u w:val="none"/>
          <w:effect w:val="none"/>
        </w:rPr>
        <w:t>$11.3 million</w:t>
      </w:r>
      <w:r>
        <w:rPr>
          <w:caps w:val="false"/>
          <w:smallCaps w:val="false"/>
          <w:sz w:val="24"/>
        </w:rPr>
        <w:t xml:space="preserve"> </w:t>
      </w:r>
      <w:r>
        <w:rPr>
          <w:rFonts w:ascii="Times New Roman;serif" w:hAnsi="Times New Roman;serif"/>
          <w:b w:val="false"/>
          <w:i w:val="false"/>
          <w:caps w:val="false"/>
          <w:smallCaps w:val="false"/>
          <w:sz w:val="20"/>
        </w:rPr>
        <w:t xml:space="preserve">thereafter.  See Note 9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Recent Accounting Developments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See Note 1 of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Critical Accounting Estimates and Judgments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preparation of financial statements and related disclosures in conformity with GAAP requires us to make judgments,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assumptions, and estimates that affect the amounts reported in our Consolidated Financial Statements and accompanying notes.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See Note 1 of our Consolidated Financial Statements for a discussion of our significant accounting policies.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following are our critical accounting estimates and judgments used in the preparation of our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Statements, and due to their subjectivity, actual results could differ materially from the amounts reported.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Fair Value Measurements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standards define fair value as the price that would be received to sell an asset or paid to transfer a liability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principal or most advantageous market in an orderly transaction between market participants at the measurement date.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These standards establish a fair value hierarchy that gives the highest priority to quoted prices in active markets for identical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assets or liabilities and the lowest priority to unobservable inputs.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make judgments to determine the fair value of certain assets, liabilities, and equity interests when allocating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purchase price of our new investments, when revaluing our contingent payment obligations, when we issue or purchase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Affiliate equity interests, and when we test our goodwill, indefinite- and definite-lived acquired client relationships, or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method investments for impairment.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determining fair values that reflect our own assumptions concerning unobservable inputs, we typically use valuation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techniques, including probability-weighted discounted cash flow analyses and Monte Carlo simulations, where we make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assumptions about growth rates of assets under management, client attrition, asset- and performance-based fee rates,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expenses.  In these analyses, we also consider historical and current market multiples, tax benefits, credit risk, interest rates, tax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rates, discount rates, volatility, and discounts for lack of marketability.  We consider the reasonableness of our assumptions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comparing our valuation conclusions to observed market transactions and, in certain instances, by consulting with third-party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valuation firms.  Changes in the assumptions used could significantly impact fair values.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Indefinite-Lived Acquired Client Relationships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Indefinite-lived acquired client relationships include investment advisory contracts between our Affiliates and their mutual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funds and other retail-oriented investment products.  Because these contracts are with the investment products themselves,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 with the underlying investors, and the contracts between our Affiliates and the investment products are typically renewed 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 annual basis, industry practice under GAAP is to consider the contract life to be indefinite and, as a result, not amortizable.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perform indefinite-lived acquired client relationship impairment assessments annually, or more frequently should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circumstances indicate fair value has declined below the related carrying value.  For purposes of our assessments, we consider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various qualitative and quantitative factors to determine if it is more-likely-than-not that the fair value of each asset group is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greater than its carrying amount.  If we determine that it is likely that the fair value has declined below our related carrying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value, we perform discounted cash flow analyses to determine the fair value of the asset group and record an expense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Intangible amortization and impairments to reduce the carrying value to its fair value.  In these analyses, the most relevant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assumptions are revenue growth rates and discount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first quarter of 2025, we completed an impairment assessment of the indefinite-lived acquired client relationships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mutual fund assets and determined that the fair value of the assets had declined below their carrying values.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Accordingly, we recorded an expense in Intangible amortization and impairments of </w:t>
      </w:r>
      <w:r>
        <w:rPr>
          <w:rFonts w:ascii="Times New Roman;serif" w:hAnsi="Times New Roman;serif"/>
          <w:b w:val="false"/>
          <w:i w:val="false"/>
          <w:caps w:val="false"/>
          <w:smallCaps w:val="false"/>
          <w:strike w:val="false"/>
          <w:dstrike w:val="false"/>
          <w:sz w:val="20"/>
          <w:u w:val="none"/>
          <w:effect w:val="none"/>
        </w:rPr>
        <w:t>$59.2 million</w:t>
      </w:r>
      <w:r>
        <w:rPr>
          <w:caps w:val="false"/>
          <w:smallCaps w:val="false"/>
          <w:sz w:val="24"/>
        </w:rPr>
        <w:t xml:space="preserve"> </w:t>
      </w:r>
      <w:r>
        <w:rPr>
          <w:rFonts w:ascii="Times New Roman;serif" w:hAnsi="Times New Roman;serif"/>
          <w:b w:val="false"/>
          <w:i w:val="false"/>
          <w:caps w:val="false"/>
          <w:smallCaps w:val="false"/>
          <w:sz w:val="20"/>
        </w:rPr>
        <w:t xml:space="preserve">attributable to the controlling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interest (</w:t>
      </w:r>
      <w:r>
        <w:rPr>
          <w:rFonts w:ascii="Times New Roman;serif" w:hAnsi="Times New Roman;serif"/>
          <w:b w:val="false"/>
          <w:i w:val="false"/>
          <w:caps w:val="false"/>
          <w:smallCaps w:val="false"/>
          <w:strike w:val="false"/>
          <w:dstrike w:val="false"/>
          <w:sz w:val="20"/>
          <w:u w:val="none"/>
          <w:effect w:val="none"/>
        </w:rPr>
        <w:t>$70.0 million</w:t>
      </w:r>
      <w:r>
        <w:rPr>
          <w:caps w:val="false"/>
          <w:smallCaps w:val="false"/>
          <w:sz w:val="24"/>
        </w:rPr>
        <w:t xml:space="preserve"> </w:t>
      </w:r>
      <w:r>
        <w:rPr>
          <w:rFonts w:ascii="Times New Roman;serif" w:hAnsi="Times New Roman;serif"/>
          <w:b w:val="false"/>
          <w:i w:val="false"/>
          <w:caps w:val="false"/>
          <w:smallCaps w:val="false"/>
          <w:sz w:val="20"/>
        </w:rPr>
        <w:t xml:space="preserve">in aggregate) to reduce the carrying value of the assets to fair value.  The decline in the fair value was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of current and projected declines in assets under management that decreased the forecasted revenue associated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The most relevant assumptions used in these analyses were revenue growth rates over the next five years ranging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(21)%</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0%</w:t>
      </w:r>
      <w:r>
        <w:rPr>
          <w:rFonts w:ascii="Times New Roman;serif" w:hAnsi="Times New Roman;serif"/>
          <w:b w:val="false"/>
          <w:i w:val="false"/>
          <w:caps w:val="false"/>
          <w:smallCaps w:val="false"/>
          <w:sz w:val="20"/>
        </w:rPr>
        <w:t xml:space="preserve">, long-term revenue growth rates of </w:t>
      </w:r>
      <w:r>
        <w:rPr>
          <w:rFonts w:ascii="Times New Roman;serif" w:hAnsi="Times New Roman;serif"/>
          <w:b w:val="false"/>
          <w:i w:val="false"/>
          <w:caps w:val="false"/>
          <w:smallCaps w:val="false"/>
          <w:strike w:val="false"/>
          <w:dstrike w:val="false"/>
          <w:sz w:val="20"/>
          <w:u w:val="none"/>
          <w:effect w:val="none"/>
        </w:rPr>
        <w:t>0%</w:t>
      </w:r>
      <w:r>
        <w:rPr>
          <w:rFonts w:ascii="Times New Roman;serif" w:hAnsi="Times New Roman;serif"/>
          <w:b w:val="false"/>
          <w:i w:val="false"/>
          <w:caps w:val="false"/>
          <w:smallCaps w:val="false"/>
          <w:sz w:val="20"/>
        </w:rPr>
        <w:t xml:space="preserve">, and discount rates of </w:t>
      </w:r>
      <w:r>
        <w:rPr>
          <w:rFonts w:ascii="Times New Roman;serif" w:hAnsi="Times New Roman;serif"/>
          <w:b w:val="false"/>
          <w:i w:val="false"/>
          <w:caps w:val="false"/>
          <w:smallCaps w:val="false"/>
          <w:strike w:val="false"/>
          <w:dstrike w:val="false"/>
          <w:sz w:val="20"/>
          <w:u w:val="none"/>
          <w:effect w:val="none"/>
        </w:rPr>
        <w:t>11.0%</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the fourth quarter of 2025, we completed our annual impairment assessment of our indefinite-lived acquired client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relationships and determined that the fair value of certain mutual fund assets had declined below their carrying values.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Accordingly, we recorded an expense in Intangible amortization and impairments of </w:t>
      </w:r>
      <w:r>
        <w:rPr>
          <w:rFonts w:ascii="Times New Roman;serif" w:hAnsi="Times New Roman;serif"/>
          <w:b w:val="false"/>
          <w:i w:val="false"/>
          <w:caps w:val="false"/>
          <w:smallCaps w:val="false"/>
          <w:strike w:val="false"/>
          <w:dstrike w:val="false"/>
          <w:sz w:val="20"/>
          <w:u w:val="none"/>
          <w:effect w:val="none"/>
        </w:rPr>
        <w:t>$37.0 million</w:t>
      </w:r>
      <w:r>
        <w:rPr>
          <w:caps w:val="false"/>
          <w:smallCaps w:val="false"/>
          <w:sz w:val="24"/>
        </w:rPr>
        <w:t xml:space="preserve"> </w:t>
      </w:r>
      <w:r>
        <w:rPr>
          <w:rFonts w:ascii="Times New Roman;serif" w:hAnsi="Times New Roman;serif"/>
          <w:b w:val="false"/>
          <w:i w:val="false"/>
          <w:caps w:val="false"/>
          <w:smallCaps w:val="false"/>
          <w:sz w:val="20"/>
        </w:rPr>
        <w:t xml:space="preserve">attributable to the controlling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interest (</w:t>
      </w:r>
      <w:r>
        <w:rPr>
          <w:rFonts w:ascii="Times New Roman;serif" w:hAnsi="Times New Roman;serif"/>
          <w:b w:val="false"/>
          <w:i w:val="false"/>
          <w:caps w:val="false"/>
          <w:smallCaps w:val="false"/>
          <w:strike w:val="false"/>
          <w:dstrike w:val="false"/>
          <w:sz w:val="20"/>
          <w:u w:val="none"/>
          <w:effect w:val="none"/>
        </w:rPr>
        <w:t>$58.0 million</w:t>
      </w:r>
      <w:r>
        <w:rPr>
          <w:caps w:val="false"/>
          <w:smallCaps w:val="false"/>
          <w:sz w:val="24"/>
        </w:rPr>
        <w:t xml:space="preserve"> </w:t>
      </w:r>
      <w:r>
        <w:rPr>
          <w:rFonts w:ascii="Times New Roman;serif" w:hAnsi="Times New Roman;serif"/>
          <w:b w:val="false"/>
          <w:i w:val="false"/>
          <w:caps w:val="false"/>
          <w:smallCaps w:val="false"/>
          <w:sz w:val="20"/>
        </w:rPr>
        <w:t xml:space="preserve">in aggregate) to reduce the carrying value of the assets to fair value.  The decline in the fair value was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result of current and projected declines in assets under management that decreased the forecasted revenue associated with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assets.  The most relevant assumptions used in these analyses were revenue growth rates over the next five years ranging from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(34)%</w:t>
      </w:r>
      <w:r>
        <w:rPr>
          <w:caps w:val="false"/>
          <w:smallCaps w:val="false"/>
          <w:sz w:val="24"/>
        </w:rPr>
        <w:t xml:space="preserve"> </w:t>
      </w:r>
      <w:r>
        <w:rPr>
          <w:rFonts w:ascii="Times New Roman;serif" w:hAnsi="Times New Roman;serif"/>
          <w:b w:val="false"/>
          <w:i w:val="false"/>
          <w:caps w:val="false"/>
          <w:smallCaps w:val="false"/>
          <w:sz w:val="20"/>
        </w:rPr>
        <w:t xml:space="preserve">to </w:t>
      </w:r>
      <w:r>
        <w:rPr>
          <w:rFonts w:ascii="Times New Roman;serif" w:hAnsi="Times New Roman;serif"/>
          <w:b w:val="false"/>
          <w:i w:val="false"/>
          <w:caps w:val="false"/>
          <w:smallCaps w:val="false"/>
          <w:strike w:val="false"/>
          <w:dstrike w:val="false"/>
          <w:sz w:val="20"/>
          <w:u w:val="none"/>
          <w:effect w:val="none"/>
        </w:rPr>
        <w:t>0%</w:t>
      </w:r>
      <w:r>
        <w:rPr>
          <w:rFonts w:ascii="Times New Roman;serif" w:hAnsi="Times New Roman;serif"/>
          <w:b w:val="false"/>
          <w:i w:val="false"/>
          <w:caps w:val="false"/>
          <w:smallCaps w:val="false"/>
          <w:sz w:val="20"/>
        </w:rPr>
        <w:t xml:space="preserve">, long-term revenue growth rates of </w:t>
      </w:r>
      <w:r>
        <w:rPr>
          <w:rFonts w:ascii="Times New Roman;serif" w:hAnsi="Times New Roman;serif"/>
          <w:b w:val="false"/>
          <w:i w:val="false"/>
          <w:caps w:val="false"/>
          <w:smallCaps w:val="false"/>
          <w:strike w:val="false"/>
          <w:dstrike w:val="false"/>
          <w:sz w:val="20"/>
          <w:u w:val="none"/>
          <w:effect w:val="none"/>
        </w:rPr>
        <w:t>0%</w:t>
      </w:r>
      <w:r>
        <w:rPr>
          <w:rFonts w:ascii="Times New Roman;serif" w:hAnsi="Times New Roman;serif"/>
          <w:b w:val="false"/>
          <w:i w:val="false"/>
          <w:caps w:val="false"/>
          <w:smallCaps w:val="false"/>
          <w:sz w:val="20"/>
        </w:rPr>
        <w:t xml:space="preserve">, and discount rates of </w:t>
      </w:r>
      <w:r>
        <w:rPr>
          <w:rFonts w:ascii="Times New Roman;serif" w:hAnsi="Times New Roman;serif"/>
          <w:b w:val="false"/>
          <w:i w:val="false"/>
          <w:caps w:val="false"/>
          <w:smallCaps w:val="false"/>
          <w:strike w:val="false"/>
          <w:dstrike w:val="false"/>
          <w:sz w:val="20"/>
          <w:u w:val="none"/>
          <w:effect w:val="none"/>
        </w:rPr>
        <w:t>10.5%</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While we believe all assumptions used in our assessments are reasonable and appropriate, changes in these estimates could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produce different values.  We performed a sensitivity analysis over the most relevant assumptions used in these assessments.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Assuming all other assumptions remain constant, a decrease in the revenue growth rates over the next five years of 200 basis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points would result in an additional impairment amount of approximately </w:t>
      </w:r>
      <w:r>
        <w:rPr>
          <w:rFonts w:ascii="Times New Roman;serif" w:hAnsi="Times New Roman;serif"/>
          <w:b w:val="false"/>
          <w:i w:val="false"/>
          <w:caps w:val="false"/>
          <w:smallCaps w:val="false"/>
          <w:strike w:val="false"/>
          <w:dstrike w:val="false"/>
          <w:sz w:val="20"/>
          <w:u w:val="none"/>
          <w:effect w:val="none"/>
        </w:rPr>
        <w:t>$80 million</w:t>
      </w:r>
      <w:r>
        <w:rPr>
          <w:rFonts w:ascii="Times New Roman;serif" w:hAnsi="Times New Roman;serif"/>
          <w:b w:val="false"/>
          <w:i w:val="false"/>
          <w:caps w:val="false"/>
          <w:smallCaps w:val="false"/>
          <w:sz w:val="20"/>
        </w:rPr>
        <w:t xml:space="preserve">, while an increase in the discount rate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100 basis points would result in an additional impairment amount of approximately </w:t>
      </w:r>
      <w:r>
        <w:rPr>
          <w:rFonts w:ascii="Times New Roman;serif" w:hAnsi="Times New Roman;serif"/>
          <w:b w:val="false"/>
          <w:i w:val="false"/>
          <w:caps w:val="false"/>
          <w:smallCaps w:val="false"/>
          <w:strike w:val="false"/>
          <w:dstrike w:val="false"/>
          <w:sz w:val="20"/>
          <w:u w:val="none"/>
          <w:effect w:val="none"/>
        </w:rPr>
        <w:t>$85 million</w:t>
      </w:r>
      <w:r>
        <w:rPr>
          <w:rFonts w:ascii="Times New Roman;serif" w:hAnsi="Times New Roman;serif"/>
          <w:b w:val="false"/>
          <w:i w:val="false"/>
          <w:caps w:val="false"/>
          <w:smallCaps w:val="false"/>
          <w:sz w:val="20"/>
        </w:rPr>
        <w:t xml:space="preserve">.  Further declines in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management resulting from negative investment performance or net client outflows above our estimates could result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additional future impairments.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no other impairments were indicated 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our indefinite-lived acquired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relationships.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Equity Method Investments in Affiliates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periodically perform assessments to determine if the fair value of an investment may have declined below its 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carrying value for our Affiliates accounted for under the equity method for a period that we consider to be other-than-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temporary.  We perform these assessments if certain triggering events occur or annually during the fourth quarter.  We first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consider whether certain qualitative and quantitative factors (including discount rates) indicate an increased likelihood of a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decline in the fair value of an Affiliate during the reporting period.  If such a decline is identified, and it is likely that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investment’s fair value may have declined below its carrying value, we perform a quantitative assessment to determine if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impairment exists.  Impairments are recorded as an expense in Equity method income (net) to reduce the carrying value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Affiliate to its fair value.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When we quantitatively test our equity method investments for impairment, we typically use valuation methods such as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discounted cash flow analyses.  In these analyses, our most significant assumptions relate to growth rates of projected assets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management, client attrition, asset- and performance-based fees, expenses, and discount rates.  We consider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reasonableness of our assumptions by comparing our valuation conclusions to observed market transactions, comparable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valuations, and, in certain instances, by consulting with third-party valuation firms.  Changes in these assumptions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could significantly impact the respective fair value of an Affiliate.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the Company completed its annual assessme</w:t>
      </w:r>
      <w:r>
        <w:rPr>
          <w:rFonts w:ascii="Times New Roman;serif" w:hAnsi="Times New Roman;serif"/>
          <w:b w:val="false"/>
          <w:i w:val="false"/>
          <w:caps w:val="false"/>
          <w:smallCaps w:val="false"/>
          <w:strike w:val="false"/>
          <w:dstrike w:val="false"/>
          <w:sz w:val="20"/>
          <w:u w:val="none"/>
          <w:effect w:val="none"/>
          <w:shd w:fill="FFFFFF" w:val="clear"/>
        </w:rPr>
        <w:t>nt</w:t>
      </w:r>
      <w:r>
        <w:rPr>
          <w:caps w:val="false"/>
          <w:smallCaps w:val="false"/>
          <w:sz w:val="24"/>
        </w:rPr>
        <w:t xml:space="preserve"> </w:t>
      </w:r>
      <w:r>
        <w:rPr>
          <w:rFonts w:ascii="Times New Roman;serif" w:hAnsi="Times New Roman;serif"/>
          <w:b w:val="false"/>
          <w:i w:val="false"/>
          <w:caps w:val="false"/>
          <w:smallCaps w:val="false"/>
          <w:sz w:val="20"/>
        </w:rPr>
        <w:t xml:space="preserve">of its investments in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accounted for under the equity method and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no</w:t>
      </w:r>
      <w:r>
        <w:rPr>
          <w:caps w:val="false"/>
          <w:smallCaps w:val="false"/>
          <w:sz w:val="24"/>
        </w:rPr>
        <w:t xml:space="preserve"> </w:t>
      </w:r>
      <w:r>
        <w:rPr>
          <w:rFonts w:ascii="Times New Roman;serif" w:hAnsi="Times New Roman;serif"/>
          <w:b w:val="false"/>
          <w:i w:val="false"/>
          <w:caps w:val="false"/>
          <w:smallCaps w:val="false"/>
          <w:sz w:val="20"/>
        </w:rPr>
        <w:t>impairments were indicated.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7A.Quantitative and Qualitative Disclosures About Market Risk</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Assets Under Management Market Price Risk</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Consolidated revenue and equity method revenue</w:t>
      </w:r>
      <w:r>
        <w:rPr>
          <w:rFonts w:ascii="Times New Roman;serif" w:hAnsi="Times New Roman;serif"/>
          <w:b w:val="false"/>
          <w:i w:val="false"/>
          <w:caps w:val="false"/>
          <w:smallCaps w:val="false"/>
          <w:strike w:val="false"/>
          <w:dstrike w:val="false"/>
          <w:sz w:val="20"/>
          <w:u w:val="none"/>
          <w:effect w:val="none"/>
        </w:rPr>
        <w:t>, net</w:t>
      </w:r>
      <w:r>
        <w:rPr>
          <w:caps w:val="false"/>
          <w:smallCaps w:val="false"/>
          <w:sz w:val="24"/>
        </w:rPr>
        <w:t xml:space="preserve"> </w:t>
      </w:r>
      <w:r>
        <w:rPr>
          <w:rFonts w:ascii="Times New Roman;serif" w:hAnsi="Times New Roman;serif"/>
          <w:b w:val="false"/>
          <w:i w:val="false"/>
          <w:caps w:val="false"/>
          <w:smallCaps w:val="false"/>
          <w:sz w:val="20"/>
        </w:rPr>
        <w:t xml:space="preserve">are derived primarily from asset-based fees that are typically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determined as a percentage of the value of a client’s assets under management.  Such values are affected by changes in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markets (including declines in the capital markets, fluctuations in foreign currency exchange rates, inflation rates or the yield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curve, and other market factors) and, accordingly, declines in the financial markets may negatively impact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and equity method revenue, net.</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estimate a proportional 1% change in the value of our assets under management would have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resulted in a </w:t>
      </w:r>
      <w:r>
        <w:rPr>
          <w:rFonts w:ascii="Times New Roman;serif" w:hAnsi="Times New Roman;serif"/>
          <w:b w:val="false"/>
          <w:i w:val="false"/>
          <w:caps w:val="false"/>
          <w:smallCaps w:val="false"/>
          <w:strike w:val="false"/>
          <w:dstrike w:val="false"/>
          <w:sz w:val="20"/>
          <w:u w:val="none"/>
          <w:effect w:val="none"/>
        </w:rPr>
        <w:t>$17.2 million</w:t>
      </w:r>
      <w:r>
        <w:rPr>
          <w:caps w:val="false"/>
          <w:smallCaps w:val="false"/>
          <w:sz w:val="24"/>
        </w:rPr>
        <w:t xml:space="preserve"> </w:t>
      </w:r>
      <w:r>
        <w:rPr>
          <w:rFonts w:ascii="Times New Roman;serif" w:hAnsi="Times New Roman;serif"/>
          <w:b w:val="false"/>
          <w:i w:val="false"/>
          <w:caps w:val="false"/>
          <w:smallCaps w:val="false"/>
          <w:sz w:val="20"/>
        </w:rPr>
        <w:t xml:space="preserve">annualized change in asset-based fees in Consolidated revenue for our consolidated Affiliates and a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$27.0 million</w:t>
      </w:r>
      <w:r>
        <w:rPr>
          <w:caps w:val="false"/>
          <w:smallCaps w:val="false"/>
          <w:sz w:val="24"/>
        </w:rPr>
        <w:t xml:space="preserve"> </w:t>
      </w:r>
      <w:r>
        <w:rPr>
          <w:rFonts w:ascii="Times New Roman;serif" w:hAnsi="Times New Roman;serif"/>
          <w:b w:val="false"/>
          <w:i w:val="false"/>
          <w:caps w:val="false"/>
          <w:smallCaps w:val="false"/>
          <w:sz w:val="20"/>
        </w:rPr>
        <w:t xml:space="preserve">annualized change in asset-based fees in equity method revenue, net for our Affiliates accounted for under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equity method.  This proportional increase or decrease excludes assets under management on which asset-based fees are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charged on committed capital.</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Interest Rate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fixed rates of interest on our senior notes and junior subordinated notes.  While a change in market interest rates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would not affect the interest expense incurred on our fixed rate securities, such a change may affect the fair value of 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securities.  We estimate that a 1% change in interest rates would have resulted in a </w:t>
      </w:r>
      <w:r>
        <w:rPr>
          <w:rFonts w:ascii="Times New Roman;serif" w:hAnsi="Times New Roman;serif"/>
          <w:b w:val="false"/>
          <w:i w:val="false"/>
          <w:caps w:val="false"/>
          <w:smallCaps w:val="false"/>
          <w:strike w:val="false"/>
          <w:dstrike w:val="false"/>
          <w:sz w:val="20"/>
          <w:u w:val="none"/>
          <w:effect w:val="none"/>
        </w:rPr>
        <w:t>$205.9 million</w:t>
      </w:r>
      <w:r>
        <w:rPr>
          <w:caps w:val="false"/>
          <w:smallCaps w:val="false"/>
          <w:sz w:val="24"/>
        </w:rPr>
        <w:t xml:space="preserve"> </w:t>
      </w:r>
      <w:r>
        <w:rPr>
          <w:rFonts w:ascii="Times New Roman;serif" w:hAnsi="Times New Roman;serif"/>
          <w:b w:val="false"/>
          <w:i w:val="false"/>
          <w:caps w:val="false"/>
          <w:smallCaps w:val="false"/>
          <w:sz w:val="20"/>
        </w:rPr>
        <w:t xml:space="preserve">net change in the fair value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our fixed rate securities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pay a variable rate of interest on any outstanding obligations under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revolver at specified rates, based either on an applicable term Secured Overnight Financing Rate (“SOFR”) plus a SOFR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adjustment of 0.10% or prime rate, plus a marginal rate determined based on our credit rating.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had </w:t>
      </w:r>
      <w:r>
        <w:rPr>
          <w:rFonts w:ascii="Times New Roman;serif" w:hAnsi="Times New Roman;serif"/>
          <w:b w:val="false"/>
          <w:i w:val="false"/>
          <w:caps w:val="false"/>
          <w:smallCaps w:val="false"/>
          <w:strike w:val="false"/>
          <w:dstrike w:val="false"/>
          <w:sz w:val="20"/>
          <w:u w:val="none"/>
          <w:effect w:val="none"/>
        </w:rPr>
        <w:t>no outstanding borrowings under the revolver</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Foreign Currency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functional currency of most of our Affiliates is the U.S. dollar.  Certain of our Affiliates have the pound sterling,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Canadian dollar, or the euro as their functional currency, and are, therefore, impacted by movements in pound sterling,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Canadian dollar, and euro to U.S. dollar foreign currency exchange rates.  In addition, the valuations of our foreign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a non-U.S. dollar functional currency change based on fluctuations in foreign currency exchange rates, among other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factors.  Changes due to fluctuations in foreign currency exchange rates are recorded as a component of stockholders’ equity.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To illustrate the effect of possible changes in foreign currency exchange rates, we estimate a 1% change in the pound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sterling, Canadian dollar, and euro to U.S. dollar exchange rates would have resulted in an </w:t>
      </w:r>
      <w:r>
        <w:rPr>
          <w:rFonts w:ascii="Times New Roman;serif" w:hAnsi="Times New Roman;serif"/>
          <w:b w:val="false"/>
          <w:i w:val="false"/>
          <w:caps w:val="false"/>
          <w:smallCaps w:val="false"/>
          <w:strike w:val="false"/>
          <w:dstrike w:val="false"/>
          <w:sz w:val="20"/>
          <w:u w:val="none"/>
          <w:effect w:val="none"/>
        </w:rPr>
        <w:t>$8.4 million</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$1.9 million</w:t>
      </w:r>
      <w:r>
        <w:rPr>
          <w:rFonts w:ascii="Times New Roman;serif" w:hAnsi="Times New Roman;serif"/>
          <w:b w:val="false"/>
          <w:i w:val="false"/>
          <w:caps w:val="false"/>
          <w:smallCaps w:val="false"/>
          <w:sz w:val="20"/>
        </w:rPr>
        <w:t xml:space="preserve">, and </w:t>
      </w:r>
      <w:r>
        <w:rPr>
          <w:rFonts w:ascii="Times New Roman;serif" w:hAnsi="Times New Roman;serif"/>
          <w:b w:val="false"/>
          <w:i w:val="false"/>
          <w:caps w:val="false"/>
          <w:smallCaps w:val="false"/>
          <w:strike w:val="false"/>
          <w:dstrike w:val="false"/>
          <w:sz w:val="20"/>
          <w:u w:val="none"/>
          <w:effect w:val="none"/>
        </w:rPr>
        <w:t xml:space="preserve">$4.8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z w:val="24"/>
        </w:rPr>
        <w:t xml:space="preserve"> </w:t>
      </w:r>
      <w:r>
        <w:rPr>
          <w:rFonts w:ascii="Times New Roman;serif" w:hAnsi="Times New Roman;serif"/>
          <w:b w:val="false"/>
          <w:i w:val="false"/>
          <w:caps w:val="false"/>
          <w:smallCaps w:val="false"/>
          <w:sz w:val="20"/>
        </w:rPr>
        <w:t xml:space="preserve">change to stockholders’ equity, respectively, primarily based on the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carrying value of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whose functional currency is the pound sterling, Canadian dollar, or the euro.  For the year ended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estimate a 1% change in the pound sterling, Canadian dollar, and the euro to U.S. dollar exchange rates would have resulted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$0.8 million</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$0.3 million</w:t>
      </w:r>
      <w:r>
        <w:rPr>
          <w:rFonts w:ascii="Times New Roman;serif" w:hAnsi="Times New Roman;serif"/>
          <w:b w:val="false"/>
          <w:i w:val="false"/>
          <w:caps w:val="false"/>
          <w:smallCaps w:val="false"/>
          <w:sz w:val="20"/>
        </w:rPr>
        <w:t xml:space="preserve">, and </w:t>
      </w:r>
      <w:r>
        <w:rPr>
          <w:rFonts w:ascii="Times New Roman;serif" w:hAnsi="Times New Roman;serif"/>
          <w:b w:val="false"/>
          <w:i w:val="false"/>
          <w:caps w:val="false"/>
          <w:smallCaps w:val="false"/>
          <w:strike w:val="false"/>
          <w:dstrike w:val="false"/>
          <w:sz w:val="20"/>
          <w:u w:val="none"/>
          <w:effect w:val="none"/>
        </w:rPr>
        <w:t>$0.3 million</w:t>
      </w:r>
      <w:r>
        <w:rPr>
          <w:caps w:val="false"/>
          <w:smallCaps w:val="false"/>
          <w:sz w:val="24"/>
        </w:rPr>
        <w:t xml:space="preserve"> </w:t>
      </w:r>
      <w:r>
        <w:rPr>
          <w:rFonts w:ascii="Times New Roman;serif" w:hAnsi="Times New Roman;serif"/>
          <w:b w:val="false"/>
          <w:i w:val="false"/>
          <w:caps w:val="false"/>
          <w:smallCaps w:val="false"/>
          <w:sz w:val="20"/>
        </w:rPr>
        <w:t xml:space="preserve">in annual changes to Income before income taxes (controlling interest),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respectively.</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Derivative Risk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From time to time, we and our Affiliates seek to offset exposure to changes in interest rates, foreign currency exchange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rates, and markets by entering into derivative financial instruments.  There can be no assurance that our or our Affiliates’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derivative financial instruments will meet their overall objective or that we or our Affiliates will be successful in entering into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such instruments in the future.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8.Financial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Management’s Report on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of Affiliated Managers Group, Inc. (the “Company”) is responsible for establishing and maintaining 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internal control over financial reporting.  The Company’s internal control over financial reporting processes are designed by,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under the supervision of, the Company’s chief executive and chief financial officers and applied by the Company’s Board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Directors, management, and other senior employees to provide reasonable assurance regarding the reliability of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and the preparation of the Company’s financial statements for external reporting purposes in accordance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accounting principles generally accepted in the U.S.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internal control over financial reporting includes policies and procedures that pertain to the maintenance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records that, in reasonable detail, accurately and fairly reflect transactions and dispositions of assets; provide reasonable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assurances that transactions are recorded as necessary to permit preparation of financial statements in accordance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accounting principles generally accepted in the U.S., and that receipts and expenditures are being made only in accordance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authorizations of management and the directors of the Company; and provide reasonable assurance regarding prevention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timely detection of unauthorized acquisition, use, or disposition of the Company’s assets that could have a material effect on 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financial statements.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management conducted an assessment of the effectiveness of the Company’s internal control </w:t>
      </w:r>
    </w:p>
    <w:p>
      <w:pPr>
        <w:pStyle w:val="TextBody"/>
        <w:bidi w:val="0"/>
        <w:spacing w:lineRule="atLeast" w:line="200" w:before="0" w:after="0"/>
        <w:jc w:val="left"/>
        <w:rPr/>
      </w:pPr>
      <w:r>
        <w:rPr>
          <w:rFonts w:ascii="Times New Roman;serif" w:hAnsi="Times New Roman;serif"/>
          <w:b w:val="false"/>
          <w:i w:val="false"/>
          <w:caps w:val="false"/>
          <w:smallCaps w:val="false"/>
          <w:sz w:val="20"/>
        </w:rPr>
        <w:t xml:space="preserve">over financial reporting based on the framework established in </w:t>
      </w:r>
      <w:r>
        <w:rPr>
          <w:rFonts w:ascii="Times New Roman;serif" w:hAnsi="Times New Roman;serif"/>
          <w:b w:val="false"/>
          <w:i/>
          <w:sz w:val="20"/>
        </w:rPr>
        <w:t xml:space="preserve">Internal Control — Integrated Framework (2013) </w:t>
      </w:r>
      <w:r>
        <w:rPr>
          <w:rFonts w:ascii="Times New Roman;serif" w:hAnsi="Times New Roman;serif"/>
          <w:b w:val="false"/>
          <w:i w:val="false"/>
          <w:caps w:val="false"/>
          <w:smallCaps w:val="false"/>
          <w:sz w:val="20"/>
        </w:rPr>
        <w:t xml:space="preserve">issued by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Committee of Sponsoring Organizations of the Treadway Commission (COSO).  Based on this assessment, management has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determined that the Company’s internal control over financial reporting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was effective.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The Company’s internal control over financial reporting as of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has been audited by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PricewaterhouseCoopers LLP (PCAOB ID </w:t>
      </w:r>
      <w:r>
        <w:rPr>
          <w:rFonts w:ascii="Times New Roman;serif" w:hAnsi="Times New Roman;serif"/>
          <w:b w:val="false"/>
          <w:i w:val="false"/>
          <w:caps w:val="false"/>
          <w:smallCaps w:val="false"/>
          <w:strike w:val="false"/>
          <w:dstrike w:val="false"/>
          <w:sz w:val="20"/>
          <w:u w:val="none"/>
          <w:effect w:val="none"/>
        </w:rPr>
        <w:t>238</w:t>
      </w:r>
      <w:r>
        <w:rPr>
          <w:rFonts w:ascii="Times New Roman;serif" w:hAnsi="Times New Roman;serif"/>
          <w:b w:val="false"/>
          <w:i w:val="false"/>
          <w:caps w:val="false"/>
          <w:smallCaps w:val="false"/>
          <w:sz w:val="20"/>
        </w:rPr>
        <w:t xml:space="preserve">), an independent registered public accounting firm, as stated in their report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appearing in “Report of Independent Registered Public Accounting Firm,” which expresses an unqualified opinion 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effectiveness of the Company’s internal control over financial reporting as of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Report of Independent Registered Public Accounting Firm</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 the Board of Directors and Stockholders of Affiliated Managers Group, Inc.</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Opinions on the Financial Statements and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have audited the accompanying consolidated balance sheets of Affiliated Managers Group, Inc. and its affiliates (the </w:t>
      </w:r>
    </w:p>
    <w:p>
      <w:pPr>
        <w:pStyle w:val="TextBody"/>
        <w:bidi w:val="0"/>
        <w:spacing w:lineRule="atLeast" w:line="200" w:before="0" w:after="0"/>
        <w:jc w:val="left"/>
        <w:rPr/>
      </w:pPr>
      <w:r>
        <w:rPr>
          <w:caps w:val="false"/>
          <w:smallCaps w:val="false"/>
        </w:rPr>
        <w:t>“</w:t>
      </w:r>
      <w:r>
        <w:rPr>
          <w:rFonts w:ascii="Times New Roman;serif" w:hAnsi="Times New Roman;serif"/>
          <w:b w:val="false"/>
          <w:i w:val="false"/>
          <w:caps w:val="false"/>
          <w:smallCaps w:val="false"/>
          <w:sz w:val="20"/>
        </w:rPr>
        <w:t xml:space="preserve">Company”) 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and the related consolidated statements of income, of comprehensive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of changes in equity and of cash flows for each of the three years in the period ended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including the related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notes and financial statement schedule listed in the index appearing under Item 15(a)(2) (collectively referred to as the </w:t>
      </w:r>
    </w:p>
    <w:p>
      <w:pPr>
        <w:pStyle w:val="TextBody"/>
        <w:bidi w:val="0"/>
        <w:spacing w:lineRule="atLeast" w:line="200" w:before="0" w:after="0"/>
        <w:jc w:val="left"/>
        <w:rPr>
          <w:caps w:val="false"/>
          <w:smallCaps w:val="false"/>
        </w:rPr>
      </w:pPr>
      <w:r>
        <w:rPr>
          <w:caps w:val="false"/>
          <w:smallCaps w:val="false"/>
        </w:rPr>
        <w:t>“</w:t>
      </w:r>
      <w:r>
        <w:rPr>
          <w:rFonts w:ascii="Times New Roman;serif" w:hAnsi="Times New Roman;serif"/>
          <w:b w:val="false"/>
          <w:i w:val="false"/>
          <w:caps w:val="false"/>
          <w:smallCaps w:val="false"/>
          <w:sz w:val="20"/>
        </w:rPr>
        <w:t xml:space="preserve">consolidated financial statements”). We also have audited the Company's internal control over financial reporting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based on criteria established in </w:t>
      </w:r>
      <w:r>
        <w:rPr>
          <w:rFonts w:ascii="Times New Roman;serif" w:hAnsi="Times New Roman;serif"/>
          <w:b w:val="false"/>
          <w:i/>
          <w:sz w:val="20"/>
        </w:rPr>
        <w:t>Internal Control — Integrated Framework</w:t>
      </w:r>
      <w:r>
        <w:rPr>
          <w:caps w:val="false"/>
          <w:smallCaps w:val="false"/>
          <w:sz w:val="24"/>
        </w:rPr>
        <w:t xml:space="preserve"> </w:t>
      </w:r>
      <w:r>
        <w:rPr>
          <w:rFonts w:ascii="Times New Roman;serif" w:hAnsi="Times New Roman;serif"/>
          <w:b w:val="false"/>
          <w:i w:val="false"/>
          <w:caps w:val="false"/>
          <w:smallCaps w:val="false"/>
          <w:sz w:val="20"/>
        </w:rPr>
        <w:t xml:space="preserve">(2013) issued by the Committee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of Sponsoring Organizations of the Treadway Commission (COSO).</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our opinion, the consolidated financial statements referred to above present fairly, in all material respects, the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position of the Company as of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and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and the results of its operations and its cash flows for each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three years in the period ended December 31, </w:t>
      </w: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r>
        <w:rPr>
          <w:rFonts w:ascii="Times New Roman;serif" w:hAnsi="Times New Roman;serif"/>
          <w:b w:val="false"/>
          <w:i w:val="false"/>
          <w:caps w:val="false"/>
          <w:smallCaps w:val="false"/>
          <w:sz w:val="20"/>
        </w:rPr>
        <w:t xml:space="preserve">in conformity with accounting principles generally accepted in the United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States of America. Also in our opinion, the Company maintained, in all material respects, effective internal control over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financial reporting as of December 31, </w:t>
      </w:r>
      <w:r>
        <w:rPr>
          <w:rFonts w:ascii="Times New Roman;serif" w:hAnsi="Times New Roman;serif"/>
          <w:b w:val="false"/>
          <w:i w:val="false"/>
          <w:caps w:val="false"/>
          <w:smallCaps w:val="false"/>
          <w:strike w:val="false"/>
          <w:dstrike w:val="false"/>
          <w:sz w:val="20"/>
          <w:u w:val="none"/>
          <w:effect w:val="none"/>
        </w:rPr>
        <w:t>2025</w:t>
      </w:r>
      <w:r>
        <w:rPr>
          <w:rFonts w:ascii="Times New Roman;serif" w:hAnsi="Times New Roman;serif"/>
          <w:b w:val="false"/>
          <w:i w:val="false"/>
          <w:caps w:val="false"/>
          <w:smallCaps w:val="false"/>
          <w:sz w:val="20"/>
        </w:rPr>
        <w:t xml:space="preserve">, based on criteria established in </w:t>
      </w:r>
      <w:r>
        <w:rPr>
          <w:rFonts w:ascii="Times New Roman;serif" w:hAnsi="Times New Roman;serif"/>
          <w:b w:val="false"/>
          <w:i/>
          <w:sz w:val="20"/>
        </w:rPr>
        <w:t>Internal Control — Integrated Framework</w:t>
      </w:r>
      <w:r>
        <w:rPr>
          <w:caps w:val="false"/>
          <w:smallCaps w:val="false"/>
          <w:sz w:val="24"/>
        </w:rPr>
        <w:t xml:space="preserve"> </w:t>
      </w:r>
      <w:r>
        <w:rPr>
          <w:rFonts w:ascii="Times New Roman;serif" w:hAnsi="Times New Roman;serif"/>
          <w:b w:val="false"/>
          <w:i w:val="false"/>
          <w:caps w:val="false"/>
          <w:smallCaps w:val="false"/>
          <w:sz w:val="20"/>
        </w:rPr>
        <w:t xml:space="preserve">(2013)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issued by the COSO.</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Basis for Opinions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Company's management is responsible for these consolidated financial statements, for maintaining effective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 over financial reporting, and for its assessment of the effectiveness of internal control over financial reporting, included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 Management’s Report on Internal Control Over Financial Reporting appearing under Item 8.  Our responsibility is to express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opinions on the Company’s consolidated financial statements and on the Company's internal control over financial reporting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based on our audits.  We are a public accounting firm registered with the Public Company Accounting Oversight Board (United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States) (PCAOB) and are required to be independent with respect to the Company in accordance with the U.S. federal securities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laws and the applicable rules and regulations of the Securities and Exchange Commission and the PCAOB.</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We conducted our audits in accordance with the standards of the PCAOB.  Those standards require that we plan and perform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audits to obtain reasonable assurance about whether the consolidated financial statements are free of material misstatement,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whether due to error or fraud, and whether effective internal control over financial reporting was maintained in all material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respects.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audits of the consolidated financial statements included performing procedures to assess the risks of material misstatement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of the consolidated financial statements, whether due to error or fraud, and performing procedures that respond to those risks.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Such procedures included examining, on a test basis, evidence regarding the amounts and disclosures in the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Our audits also included evaluating the accounting principles used and significant estimates made by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 as well as evaluating the overall presentation of the consolidated financial statements.  Our audit of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control over financial reporting included obtaining an understanding of internal control over financial reporting, assessing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risk that a material weakness exists, and testing and evaluating the design and operating effectiveness of internal control based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on the assessed risk.  Our audits also included performing such other procedures as we considered necessary in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circumstances.  We believe that our audits provide a reasonable basis for our opinions.</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Definition and Limitations of Internal Control over Financial Reporting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 company’s internal control over financial reporting is a process designed to provide reasonable assurance regarding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reliability of financial reporting and the preparation of financial statements for external purposes in accordance with generally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accepted accounting principles.  A company’s internal control over financial reporting includes those policies and procedures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that (i) pertain to the maintenance of records that, in reasonable detail, accurately and fairly reflect the transactions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dispositions of the assets of the company; (ii) provide reasonable assurance that transactions are recorded as necessary to permit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preparation of financial statements in accordance with generally accepted accounting principles, and that receipts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expenditures of the company are being made only in accordance with authorizations of management and directors of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company; and (iii) provide reasonable assurance regarding prevention or timely detection of unauthorized acquisition, use,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disposition of the company’s assets that could have a material effect on the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Because of its inherent limitations, internal control over financial reporting may not prevent or detect misstatements. Also,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projections of any evaluation of effectiveness to future periods are subject to the risk that controls may become inadequate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because of changes in conditions, or that the degree of compliance with the policies or procedures may deteriorate.</w:t>
      </w:r>
    </w:p>
    <w:p>
      <w:pPr>
        <w:pStyle w:val="TextBody"/>
        <w:bidi w:val="0"/>
        <w:spacing w:lineRule="atLeast" w:line="200" w:before="0" w:after="0"/>
        <w:jc w:val="left"/>
        <w:rPr>
          <w:rFonts w:ascii="Times New Roman;serif" w:hAnsi="Times New Roman;serif"/>
          <w:b/>
          <w:i/>
          <w:sz w:val="20"/>
        </w:rPr>
      </w:pPr>
      <w:r>
        <w:rPr>
          <w:rFonts w:ascii="Times New Roman;serif" w:hAnsi="Times New Roman;serif"/>
          <w:b/>
          <w:i/>
          <w:sz w:val="20"/>
        </w:rPr>
        <w:t>Critical Audit Matters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critical audit matter communicated below is a matter arising from the current period audit of the consolidated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statements that was communicated or required to be communicated to the audit committee and that (i) relates to accounts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disclosures that are material to the consolidated financial statements and (ii) involved our especially challenging, subjective, 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complex judgments.  The communication of critical audit matters does not alter in any way our opinion on the consolidated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statements, taken as a whole, and we are not, by communicating the critical audit matter below, providing a separate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opinion on the critical audit matter or on the accounts or disclosures to which it relates.</w:t>
      </w:r>
    </w:p>
    <w:p>
      <w:pPr>
        <w:pStyle w:val="TextBody"/>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Impairment Assessment for Indefinite-lived Acquired Client Relationships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described in Notes 1 and 7 to the consolidated financial statements, the carrying value of indefinite-lived acquired client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relationships was $1,484 million as of December 31, 2025.  Management assesses for the possible impairment of indefinite-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lived acquired client relationships annually or more frequently whenever events or changes in circumstances indicate that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carrying amount of the asset may not be recoverable.  As disclosed by management, if they determine that it is likely that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fair value has declined below the related carrying value, management performs discounted cash flow analyses to determine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fair value of the asset group and record an expense to reduce the carrying value to its fair value.  During the year ended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December 31, 2025, management completed impairment assessments of the indefinite-lived acquired client relationships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certain mutual fund assets and determined that the fair value of the assets had declined below their carrying values and recorded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 impairment expense of $128 million, to reduce the carrying value of the assets to fair value.  The decline in the fair value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was a result of current and projected declines in assets under management that decreased the forecasted revenue associated 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assets.  The most relevant assumptions used in these analyses were revenue growth rates over the next five years, long-term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revenue growth rates, and discount rates.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The principal considerations for our determination that performing procedures relating to the impairment assessment for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indefinite-lived acquired client relationships is a critical audit matter are (i) the significant judgment by management when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developing the fair value estimate of the indefinite-lived acquired client relationships, (ii) a high degree of auditor judgment,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subjectivity and effort in performing procedures and evaluating management’s significant assumptions related to the discount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rates, and (iii) the audit effort involved the use of professionals with specialized skill and knowledge.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Addressing the matter involved performing procedures and evaluating audit evidence in connection with forming our overall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opinion on the consolidated financial statements.  These procedures included testing the effectiveness of controls relating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management’s impairment assessment for the indefinite-lived acquired client relationships, including controls over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significant assumptions related to the discount rates.  These procedures also included, among others, (i) testing management’s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process for developing the fair value estimate of the indefinite-lived acquired client relationships, (ii) testing the completeness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accuracy of certain underlying data used in the discounted cash flow analyses, and (iii) the involvement of professionals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with specialized skill and knowledge to assist in evaluating (a) the appropriateness of the discounted cash flow analyses and (b)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reasonableness of the significant assumptions used by management related to the discount rates.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/s/ </w:t>
      </w:r>
      <w:r>
        <w:rPr>
          <w:rFonts w:ascii="Times New Roman;serif" w:hAnsi="Times New Roman;serif"/>
          <w:b w:val="false"/>
          <w:i w:val="false"/>
          <w:caps w:val="false"/>
          <w:smallCaps w:val="false"/>
          <w:strike w:val="false"/>
          <w:dstrike w:val="false"/>
          <w:sz w:val="20"/>
          <w:u w:val="none"/>
          <w:effect w:val="none"/>
        </w:rPr>
        <w:t>PricewaterhouseCoopers LLP</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Boston, Massachusetts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February 17, 2026</w:t>
      </w:r>
      <w:r>
        <w:rPr>
          <w:caps w:val="false"/>
          <w:smallCaps w:val="false"/>
          <w:sz w:val="24"/>
        </w:rPr>
        <w:t xml:space="preserve"> </w:t>
      </w:r>
    </w:p>
    <w:p>
      <w:pPr>
        <w:pStyle w:val="TextBody"/>
        <w:bidi w:val="0"/>
        <w:spacing w:lineRule="atLeast" w:line="200" w:before="0" w:after="0"/>
        <w:jc w:val="left"/>
        <w:rPr/>
      </w:pPr>
      <w:r>
        <w:rPr>
          <w:rFonts w:ascii="Times New Roman;serif" w:hAnsi="Times New Roman;serif"/>
          <w:b w:val="false"/>
          <w:i w:val="false"/>
          <w:caps w:val="false"/>
          <w:smallCaps w:val="false"/>
          <w:sz w:val="20"/>
        </w:rPr>
        <w:t>We have served as the Company’s auditor since 1993.</w:t>
      </w:r>
      <w:r>
        <w:rPr>
          <w:caps w:val="false"/>
          <w:smallCaps w:val="false"/>
        </w:rPr>
        <w:t xml:space="preserv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INCOME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 except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751" w:type="dxa"/>
        <w:jc w:val="left"/>
        <w:tblInd w:w="0" w:type="dxa"/>
        <w:tblLayout w:type="fixed"/>
        <w:tblCellMar>
          <w:top w:w="28" w:type="dxa"/>
          <w:left w:w="28" w:type="dxa"/>
          <w:bottom w:w="28" w:type="dxa"/>
          <w:right w:w="28" w:type="dxa"/>
        </w:tblCellMar>
      </w:tblPr>
      <w:tblGrid>
        <w:gridCol w:w="6901"/>
        <w:gridCol w:w="109"/>
        <w:gridCol w:w="826"/>
        <w:gridCol w:w="109"/>
        <w:gridCol w:w="826"/>
        <w:gridCol w:w="109"/>
        <w:gridCol w:w="871"/>
      </w:tblGrid>
      <w:tr>
        <w:trPr/>
        <w:tc>
          <w:tcPr>
            <w:tcW w:w="6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Consolidated revenue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$2,074.4</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Consolidated expenses: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Compensation and related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1,019.8</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Selling, general and administrative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408.6</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160.3</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136.5</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Depreciation and other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expenses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69.8</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consolidated expenses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1,496.6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1,805.4</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income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462.9</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Affiliate transaction gains (Notes 7 and 8)</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371.3</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 and other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83.1</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before income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923.2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1,186.3</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282.3</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904.0</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(187.4)</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shares outstanding (basic)</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shares outstanding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Earnings per share (basic)</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$25.18</w:t>
            </w:r>
          </w:p>
        </w:tc>
      </w:tr>
      <w:tr>
        <w:trPr/>
        <w:tc>
          <w:tcPr>
            <w:tcW w:w="690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Earnings per share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COMPREHENSIVE INCOME</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949" w:type="dxa"/>
        <w:jc w:val="left"/>
        <w:tblInd w:w="0" w:type="dxa"/>
        <w:tblLayout w:type="fixed"/>
        <w:tblCellMar>
          <w:top w:w="28" w:type="dxa"/>
          <w:left w:w="28" w:type="dxa"/>
          <w:bottom w:w="28" w:type="dxa"/>
          <w:right w:w="28" w:type="dxa"/>
        </w:tblCellMar>
      </w:tblPr>
      <w:tblGrid>
        <w:gridCol w:w="7156"/>
        <w:gridCol w:w="109"/>
        <w:gridCol w:w="794"/>
        <w:gridCol w:w="125"/>
        <w:gridCol w:w="794"/>
        <w:gridCol w:w="125"/>
        <w:gridCol w:w="846"/>
      </w:tblGrid>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r>
      <w:tr>
        <w:trPr/>
        <w:tc>
          <w:tcPr>
            <w:tcW w:w="71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71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$906.1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$740.6</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$904.0</w:t>
            </w:r>
          </w:p>
        </w:tc>
      </w:tr>
      <w:tr>
        <w:trPr/>
        <w:tc>
          <w:tcPr>
            <w:tcW w:w="7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comprehensive income, net of tax:</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8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70.2</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 in net realized and unrealized gain (loss) on derivative financial instruments</w:t>
            </w:r>
            <w:r>
              <w:rPr>
                <w:caps w:val="false"/>
                <w:smallCaps w:val="false"/>
                <w:strike w:val="false"/>
                <w:dstrike w:val="false"/>
                <w:color w:val="B4B4B4"/>
                <w:u w:val="none"/>
                <w:effect w:val="none"/>
              </w:rPr>
              <w:t xml:space="preserve"> </w:t>
            </w:r>
            <w:r>
              <w:rPr>
                <w:rFonts w:ascii="Times New Roman;serif" w:hAnsi="Times New Roman;serif"/>
                <w:b w:val="false"/>
                <w:i w:val="false"/>
                <w:caps w:val="false"/>
                <w:smallCaps w:val="false"/>
                <w:strike w:val="false"/>
                <w:dstrike w:val="false"/>
                <w:color w:val="B4B4B4"/>
                <w:sz w:val="2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8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comprehensive income,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69.7</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948.0</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742.7</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973.7</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Comprehensive income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(239.3)</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79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(227.1)</w:t>
            </w:r>
          </w:p>
        </w:tc>
        <w:tc>
          <w:tcPr>
            <w:tcW w:w="125" w:type="dxa"/>
            <w:tcBorders/>
            <w:shd w:fill="FFFFFF" w:val="clear"/>
            <w:vAlign w:val="center"/>
          </w:tcPr>
          <w:p>
            <w:pPr>
              <w:pStyle w:val="TableContents"/>
              <w:bidi w:val="0"/>
              <w:spacing w:before="0" w:after="283"/>
              <w:jc w:val="left"/>
              <w:rPr>
                <w:sz w:val="4"/>
                <w:szCs w:val="4"/>
              </w:rPr>
            </w:pPr>
            <w:r>
              <w:rPr>
                <w:sz w:val="4"/>
                <w:szCs w:val="4"/>
              </w:rPr>
            </w:r>
          </w:p>
        </w:tc>
        <w:tc>
          <w:tcPr>
            <w:tcW w:w="8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(200.3)</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Comprehensive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$708.7</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79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$515.6</w:t>
            </w:r>
          </w:p>
        </w:tc>
        <w:tc>
          <w:tcPr>
            <w:tcW w:w="125" w:type="dxa"/>
            <w:tcBorders/>
            <w:shd w:fill="CCEEFF" w:val="clear"/>
            <w:vAlign w:val="center"/>
          </w:tcPr>
          <w:p>
            <w:pPr>
              <w:pStyle w:val="TableContents"/>
              <w:bidi w:val="0"/>
              <w:spacing w:before="0" w:after="283"/>
              <w:jc w:val="left"/>
              <w:rPr>
                <w:sz w:val="4"/>
                <w:szCs w:val="4"/>
              </w:rPr>
            </w:pPr>
            <w:r>
              <w:rPr>
                <w:sz w:val="4"/>
                <w:szCs w:val="4"/>
              </w:rPr>
            </w:r>
          </w:p>
        </w:tc>
        <w:tc>
          <w:tcPr>
            <w:tcW w:w="8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$773.4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BALANCE SHEETS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 except par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626" w:type="dxa"/>
        <w:jc w:val="left"/>
        <w:tblInd w:w="0" w:type="dxa"/>
        <w:tblLayout w:type="fixed"/>
        <w:tblCellMar>
          <w:top w:w="28" w:type="dxa"/>
          <w:left w:w="28" w:type="dxa"/>
          <w:bottom w:w="28" w:type="dxa"/>
          <w:right w:w="28" w:type="dxa"/>
        </w:tblCellMar>
      </w:tblPr>
      <w:tblGrid>
        <w:gridCol w:w="7681"/>
        <w:gridCol w:w="109"/>
        <w:gridCol w:w="841"/>
        <w:gridCol w:w="109"/>
        <w:gridCol w:w="886"/>
      </w:tblGrid>
      <w:tr>
        <w:trPr/>
        <w:tc>
          <w:tcPr>
            <w:tcW w:w="7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76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8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68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68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Cash and 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$586.0</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Receivables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409.7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496.2</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711.6</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Goodwill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2,531.2</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Acquired client relationships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1,777.8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1,639.3</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method investments in Affiliates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2,246.6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2,870.4</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Fixed assets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54.4</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318.3</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$8,830.9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$9,207.4</w:t>
            </w:r>
          </w:p>
        </w:tc>
      </w:tr>
      <w:tr>
        <w:trPr/>
        <w:tc>
          <w:tcPr>
            <w:tcW w:w="768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Liabilities and 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Payables and accrued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$806.9</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2,691.3</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Deferred tax liability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533.1</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754.0</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4,182.2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4,785.3</w:t>
            </w:r>
          </w:p>
        </w:tc>
      </w:tr>
      <w:tr>
        <w:trPr/>
        <w:tc>
          <w:tcPr>
            <w:tcW w:w="7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Commitments and contingencies (Note 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before="0" w:after="283"/>
              <w:jc w:val="left"/>
              <w:rPr>
                <w:sz w:val="4"/>
                <w:szCs w:val="4"/>
              </w:rPr>
            </w:pPr>
            <w:r>
              <w:rPr>
                <w:sz w:val="4"/>
                <w:szCs w:val="4"/>
              </w:rPr>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Redeemable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246.8</w:t>
            </w:r>
          </w:p>
        </w:tc>
      </w:tr>
      <w:tr>
        <w:trPr/>
        <w:tc>
          <w:tcPr>
            <w:tcW w:w="76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Equity: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681" w:type="dxa"/>
            <w:tcBorders/>
            <w:shd w:fill="FFFF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Common stock ($0.01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par value, 153.0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authorized; 58.5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issued as of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Additional paid-in capital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616.1</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Accumulated other comprehensive loss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(106.8)</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Retained earnings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6,899.8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7,615.4</w:t>
            </w:r>
          </w:p>
        </w:tc>
      </w:tr>
      <w:tr>
        <w:trPr/>
        <w:tc>
          <w:tcPr>
            <w:tcW w:w="76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7,469.9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8,125.3</w:t>
            </w:r>
          </w:p>
        </w:tc>
      </w:tr>
      <w:tr>
        <w:trPr/>
        <w:tc>
          <w:tcPr>
            <w:tcW w:w="7681" w:type="dxa"/>
            <w:tcBorders/>
            <w:shd w:fill="CCEEFF" w:val="clear"/>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Less: Treasury stock, at cost (28.9</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in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31.5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in 2025)</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(4,886.9)</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stockholders' equity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3,238.4</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936.9</w:t>
            </w:r>
          </w:p>
        </w:tc>
      </w:tr>
      <w:tr>
        <w:trPr/>
        <w:tc>
          <w:tcPr>
            <w:tcW w:w="76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equity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4,298.2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4,175.3</w:t>
            </w:r>
          </w:p>
        </w:tc>
      </w:tr>
      <w:tr>
        <w:trPr/>
        <w:tc>
          <w:tcPr>
            <w:tcW w:w="76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liabilities and equity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$8,830.9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$9,207.4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CHANGES IN EQUITY</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 except dividends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3319"/>
        <w:gridCol w:w="109"/>
        <w:gridCol w:w="766"/>
        <w:gridCol w:w="109"/>
        <w:gridCol w:w="871"/>
        <w:gridCol w:w="109"/>
        <w:gridCol w:w="1216"/>
        <w:gridCol w:w="109"/>
        <w:gridCol w:w="751"/>
        <w:gridCol w:w="109"/>
        <w:gridCol w:w="836"/>
        <w:gridCol w:w="109"/>
        <w:gridCol w:w="901"/>
        <w:gridCol w:w="109"/>
        <w:gridCol w:w="782"/>
      </w:tblGrid>
      <w:tr>
        <w:trPr/>
        <w:tc>
          <w:tcPr>
            <w:tcW w:w="3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331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87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 Stockholders’ Equity</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319"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Paid-In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Capital</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Comprehensive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Loss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Retained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Earnings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Treasury</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at</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Cost</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controlling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Equity</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i w:val="false"/>
                <w:caps w:val="false"/>
                <w:smallCaps w:val="false"/>
                <w:strike w:val="false"/>
                <w:dstrike w:val="false"/>
                <w:color w:val="000000"/>
                <w:sz w:val="16"/>
                <w:u w:val="none"/>
                <w:effect w:val="none"/>
              </w:rPr>
              <w:t>December 31, 2022</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$5,718.2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$(2,980.6)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$945.3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$4,175.6</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233.2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906.1</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Other comprehensive income,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41.9</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Share-based compensation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59.4</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Common stock issued under share-based incentive plans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(31.3)</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Share repurchases, inclusive of excise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(352.3)</w:t>
            </w:r>
          </w:p>
        </w:tc>
      </w:tr>
      <w:tr>
        <w:trPr/>
        <w:tc>
          <w:tcPr>
            <w:tcW w:w="3319"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Dividends ($0.04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per share)</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r>
      <w:tr>
        <w:trPr/>
        <w:tc>
          <w:tcPr>
            <w:tcW w:w="331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Affiliate equity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52.5</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Issuances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w:t>
            </w:r>
          </w:p>
        </w:tc>
      </w:tr>
      <w:tr>
        <w:trPr/>
        <w:tc>
          <w:tcPr>
            <w:tcW w:w="331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(55.5)</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Transfers from Redeemable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13.5</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(271.3)</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Effect of deconsolidation of Affiliates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(0.4)</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i w:val="false"/>
                <w:caps w:val="false"/>
                <w:smallCaps w:val="false"/>
                <w:strike w:val="false"/>
                <w:dstrike w:val="false"/>
                <w:color w:val="000000"/>
                <w:sz w:val="16"/>
                <w:u w:val="none"/>
                <w:effect w:val="none"/>
              </w:rPr>
              <w:t>December 31, 2023</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$6,389.6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$(3,376.1)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$4,570.1</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511.6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740.6</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Other comprehensive income (loss),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Share-based compensation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52.0</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Common stock issued under share-based incentive plans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(86.7)</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 repurchases, inclusive of excise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(706.0)</w:t>
            </w:r>
          </w:p>
        </w:tc>
      </w:tr>
      <w:tr>
        <w:trPr/>
        <w:tc>
          <w:tcPr>
            <w:tcW w:w="3319"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Dividends ($0.04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per share)</w:t>
            </w:r>
            <w:r>
              <w:rPr>
                <w:caps w:val="false"/>
                <w:smallCaps w:val="false"/>
                <w:sz w:val="24"/>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r>
      <w:tr>
        <w:trPr/>
        <w:tc>
          <w:tcPr>
            <w:tcW w:w="331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Affiliate equity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55.0</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Issuances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(24.0)</w:t>
            </w:r>
          </w:p>
        </w:tc>
      </w:tr>
      <w:tr>
        <w:trPr/>
        <w:tc>
          <w:tcPr>
            <w:tcW w:w="331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Transfers to Redeemable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(26.2)</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(258.0)</w:t>
            </w:r>
          </w:p>
        </w:tc>
      </w:tr>
      <w:tr>
        <w:trPr/>
        <w:tc>
          <w:tcPr>
            <w:tcW w:w="3319" w:type="dxa"/>
            <w:tcBorders/>
            <w:shd w:fill="FFFFFF" w:val="clear"/>
            <w:vAlign w:val="center"/>
          </w:tcPr>
          <w:p>
            <w:pPr>
              <w:pStyle w:val="TableContents"/>
              <w:bidi w:val="0"/>
              <w:spacing w:lineRule="atLeast" w:line="185" w:before="0" w:after="0"/>
              <w:jc w:val="left"/>
              <w:rPr/>
            </w:pPr>
            <w:r>
              <w:rPr>
                <w:rFonts w:ascii="Times New Roman;serif" w:hAnsi="Times New Roman;serif"/>
                <w:b/>
                <w:i w:val="false"/>
                <w:caps w:val="false"/>
                <w:smallCaps w:val="false"/>
                <w:strike w:val="false"/>
                <w:dstrike w:val="false"/>
                <w:color w:val="000000"/>
                <w:sz w:val="16"/>
                <w:u w:val="none"/>
                <w:effect w:val="none"/>
              </w:rPr>
              <w:t>December 31, 2024</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$6,899.8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$(4,124.6)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$4,298.2</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 xml:space="preserve">Net income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904.0</w:t>
            </w:r>
          </w:p>
        </w:tc>
      </w:tr>
      <w:tr>
        <w:trPr/>
        <w:tc>
          <w:tcPr>
            <w:tcW w:w="3319"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Other comprehensive income,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69.7</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Share-based compensation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59.2</w:t>
            </w:r>
          </w:p>
        </w:tc>
      </w:tr>
      <w:tr>
        <w:trPr/>
        <w:tc>
          <w:tcPr>
            <w:tcW w:w="3319"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Common stock issued under share-based incentive plans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(56.7)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(105.2)</w:t>
            </w:r>
          </w:p>
        </w:tc>
      </w:tr>
      <w:tr>
        <w:trPr/>
        <w:tc>
          <w:tcPr>
            <w:tcW w:w="331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 xml:space="preserve">Conversion premium on junior convertible securities, net </w:t>
            </w:r>
          </w:p>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sz w:val="16"/>
                <w:u w:val="none"/>
                <w:effect w:val="none"/>
              </w:rPr>
              <w:t>of tax (Note 5)</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(116.6)</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 repurchases, inclusive of excise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(705.6)</w:t>
            </w:r>
          </w:p>
        </w:tc>
      </w:tr>
      <w:tr>
        <w:trPr/>
        <w:tc>
          <w:tcPr>
            <w:tcW w:w="3319"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Dividends ($0.04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16"/>
                <w:u w:val="none"/>
                <w:effect w:val="none"/>
              </w:rPr>
              <w:t xml:space="preserve">per share) </w:t>
            </w:r>
            <w:r>
              <w:rPr>
                <w:rFonts w:ascii="Times New Roman;serif" w:hAnsi="Times New Roman;serif"/>
                <w:b w:val="false"/>
                <w:i w:val="false"/>
                <w:caps w:val="false"/>
                <w:smallCaps w:val="false"/>
                <w:strike w:val="false"/>
                <w:dstrike w:val="false"/>
                <w:color w:val="B4B4B4"/>
                <w:sz w:val="16"/>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r>
      <w:tr>
        <w:trPr/>
        <w:tc>
          <w:tcPr>
            <w:tcW w:w="331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Affiliate equity-related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before="0" w:after="283"/>
              <w:jc w:val="left"/>
              <w:rPr>
                <w:sz w:val="4"/>
                <w:szCs w:val="4"/>
              </w:rPr>
            </w:pPr>
            <w:r>
              <w:rPr>
                <w:sz w:val="4"/>
                <w:szCs w:val="4"/>
              </w:rPr>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Affiliate equity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62.9</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Issuances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(16.6)</w:t>
            </w:r>
          </w:p>
        </w:tc>
      </w:tr>
      <w:tr>
        <w:trPr/>
        <w:tc>
          <w:tcPr>
            <w:tcW w:w="331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redemption value of Redeemable non-</w:t>
            </w:r>
          </w:p>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(82.1)</w:t>
            </w:r>
          </w:p>
        </w:tc>
      </w:tr>
      <w:tr>
        <w:trPr/>
        <w:tc>
          <w:tcPr>
            <w:tcW w:w="3319"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sz w:val="16"/>
                <w:u w:val="none"/>
                <w:effect w:val="none"/>
              </w:rPr>
              <w:t>Transfers from Redeemable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53.0</w:t>
            </w:r>
          </w:p>
        </w:tc>
      </w:tr>
      <w:tr>
        <w:trPr/>
        <w:tc>
          <w:tcPr>
            <w:tcW w:w="3319"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Capital contributions and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w:t>
            </w:r>
          </w:p>
        </w:tc>
      </w:tr>
      <w:tr>
        <w:trPr/>
        <w:tc>
          <w:tcPr>
            <w:tcW w:w="3319"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36"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(252.3)</w:t>
            </w:r>
          </w:p>
        </w:tc>
      </w:tr>
      <w:tr>
        <w:trPr/>
        <w:tc>
          <w:tcPr>
            <w:tcW w:w="3319" w:type="dxa"/>
            <w:tcBorders/>
            <w:shd w:fill="FFFFFF" w:val="clear"/>
            <w:vAlign w:val="center"/>
          </w:tcPr>
          <w:p>
            <w:pPr>
              <w:pStyle w:val="TableContents"/>
              <w:bidi w:val="0"/>
              <w:spacing w:lineRule="atLeast" w:line="185" w:before="0" w:after="0"/>
              <w:jc w:val="left"/>
              <w:rPr/>
            </w:pPr>
            <w:r>
              <w:rPr>
                <w:rFonts w:ascii="Times New Roman;serif" w:hAnsi="Times New Roman;serif"/>
                <w:b/>
                <w:i w:val="false"/>
                <w:caps w:val="false"/>
                <w:smallCaps w:val="false"/>
                <w:strike w:val="false"/>
                <w:dstrike w:val="false"/>
                <w:color w:val="000000"/>
                <w:sz w:val="16"/>
                <w:u w:val="none"/>
                <w:effect w:val="none"/>
              </w:rPr>
              <w:t>December 31, 2025</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$7,615.4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$(4,886.9)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$936.9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$4,175.3</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CONSOLIDATED STATEMENTS OF CASH FLOWS</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(in millions)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7446"/>
        <w:gridCol w:w="109"/>
        <w:gridCol w:w="704"/>
        <w:gridCol w:w="118"/>
        <w:gridCol w:w="829"/>
        <w:gridCol w:w="118"/>
        <w:gridCol w:w="881"/>
      </w:tblGrid>
      <w:tr>
        <w:trPr/>
        <w:tc>
          <w:tcPr>
            <w:tcW w:w="7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74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50"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744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1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446" w:type="dxa"/>
            <w:tcBorders/>
            <w:shd w:fill="CCEE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 from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$906.1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$740.6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$904.0</w:t>
            </w:r>
          </w:p>
        </w:tc>
      </w:tr>
      <w:tr>
        <w:trPr/>
        <w:tc>
          <w:tcPr>
            <w:tcW w:w="74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Adjustments to reconcile Net income to cash flow from (used in) operating activities: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160.3</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Depreciation and other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10.4</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 xml:space="preserve">Deferred income tax expense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83.8</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Equity method income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(280.0)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(312.7)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(462.9)</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Distributions received from equity method investments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490.8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467.8</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Affiliate transaction gains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(133.1)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(371.3)</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Share-based compensation and Affiliate equity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112.1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111.6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202.8</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realized and unrealized gains on investment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(55.7)</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non-cash items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w:t>
            </w:r>
          </w:p>
        </w:tc>
      </w:tr>
      <w:tr>
        <w:trPr/>
        <w:tc>
          <w:tcPr>
            <w:tcW w:w="744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Changes in assets and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 of securities by consolidated Affiliate sponsored investment products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(76.5)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(100.6)</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Sales of securities by consolidated Affiliate sponsored investment products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54.3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62.2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72.7</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Increase in receivables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(44.2)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(49.8)</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Decrease (increase) in other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(28.1)</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(Decrease) increase in payables, accrued liabilities, and other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(189.4)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(19.2)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131.7</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flow from operating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874.3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932.1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973.2</w:t>
            </w:r>
          </w:p>
        </w:tc>
      </w:tr>
      <w:tr>
        <w:trPr/>
        <w:tc>
          <w:tcPr>
            <w:tcW w:w="744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 from (used in) investing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Investments in Affiliates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(294.7)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(776.0)</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Proceeds from Affiliate transactions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294.0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403.8</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Return of capital from equity method investments in Affiliates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 of fixed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(6.1)</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Purchases of investment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(731.1)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(510.4)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(103.8)</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Maturities and sales of investment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1,008.5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898.1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266.2</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flow from (used in) investing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264.5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379.1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(206.1)</w:t>
            </w:r>
          </w:p>
        </w:tc>
      </w:tr>
      <w:tr>
        <w:trPr/>
        <w:tc>
          <w:tcPr>
            <w:tcW w:w="7446" w:type="dxa"/>
            <w:tcBorders/>
            <w:shd w:fill="FFFFFF" w:val="cle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Cash flow from (used in) financing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Borrowings of senior bank debt, senior notes, and junior subordinated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847.6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899.3</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Repayments of senior bank debt, junior convertible securities, and senior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(750.0)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(826.1)</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Repurchases of common stock,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(341.9)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(709.8)</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(706.3)</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 xml:space="preserve">Dividends paid on common stock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Distributions to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(271.3)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(258.0)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(252.3)</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Affiliate equity 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(67.4)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(106.5)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(176.7)</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Affiliate equity issuances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6.3</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(Redemptions) subscriptions to consolidated Affiliate sponsored investment products,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(12.6)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21.2</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Settlement of deferred payments,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(21.7)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(98.7)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Taxes paid on shares withheld on share-based awards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(108.0)</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Other financing items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(23.9)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shd w:fill="CCEE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(5.2)</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flow used in financing activities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(758.3)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(1,175.9)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(1,148.7)</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Effect of foreign currency exchange rate changes on cash and 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6.9</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11.6</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Net increase (decrease) in cash and cash equivalents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387.4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131.1</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(370.0)</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Cash and cash equivalents at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429.2</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813.6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950.0</w:t>
            </w:r>
          </w:p>
        </w:tc>
      </w:tr>
      <w:tr>
        <w:trPr/>
        <w:tc>
          <w:tcPr>
            <w:tcW w:w="7446" w:type="dxa"/>
            <w:tcBorders/>
            <w:shd w:fill="FFFF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Effect of consolidation (deconsolidation) of Affiliates and Affiliate sponsored investment products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5.3</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bottom w:val="single" w:sz="8" w:space="0" w:color="000000"/>
            </w:tcBorders>
            <w:shd w:fill="FFFFFF" w:val="clear"/>
            <w:tcMar>
              <w:top w:w="0" w:type="dxa"/>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6.0</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i w:val="false"/>
                <w:caps w:val="false"/>
                <w:smallCaps w:val="false"/>
                <w:strike w:val="false"/>
                <w:dstrike w:val="false"/>
                <w:color w:val="000000"/>
                <w:sz w:val="16"/>
                <w:u w:val="none"/>
                <w:effect w:val="none"/>
              </w:rPr>
              <w:t>Cash and cash equivalents at end of period</w:t>
            </w:r>
            <w:r>
              <w:rPr>
                <w:caps w:val="false"/>
                <w:smallCaps w:val="false"/>
              </w:rPr>
              <w:t xml:space="preserve"> </w:t>
            </w:r>
            <w:r>
              <w:rPr>
                <w:rFonts w:ascii="Times New Roman;serif" w:hAnsi="Times New Roman;serif"/>
                <w:b/>
                <w:i w:val="false"/>
                <w:caps w:val="false"/>
                <w:smallCaps w:val="false"/>
                <w:strike w:val="false"/>
                <w:dstrike w:val="false"/>
                <w:color w:val="B4B4B4"/>
                <w:sz w:val="16"/>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$813.6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$950.0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$586.0</w:t>
            </w:r>
          </w:p>
        </w:tc>
      </w:tr>
      <w:tr>
        <w:trPr/>
        <w:tc>
          <w:tcPr>
            <w:tcW w:w="74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Supplemental disclosure of cash flow information: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top w:val="double" w:sz="8" w:space="0" w:color="000000"/>
            </w:tcBorders>
            <w:shd w:fill="FFFFFF" w:val="clear"/>
            <w:tcMar>
              <w:left w:w="0" w:type="dxa"/>
              <w:bottom w:w="0" w:type="dxa"/>
              <w:right w:w="0" w:type="dxa"/>
            </w:tcM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Income taxes paid,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$142.5</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$110.7</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Interest paid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110.4</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138.2</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137.9</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Operating lease liabilities paid</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37.7</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39.4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35.4</w:t>
            </w:r>
          </w:p>
        </w:tc>
      </w:tr>
      <w:tr>
        <w:trPr/>
        <w:tc>
          <w:tcPr>
            <w:tcW w:w="744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Supplemental disclosure of non-cash investing and financing activities: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Shares received from Affiliate transactions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$154.0</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Conversion premium obligations on junior convertible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164.7</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Stock issued upon vesting of restricted stock units and 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55.0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114.4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137.5</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Payables recorded for Affiliate equity 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43.0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35.0</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131.4</w:t>
            </w:r>
          </w:p>
        </w:tc>
      </w:tr>
      <w:tr>
        <w:trPr/>
        <w:tc>
          <w:tcPr>
            <w:tcW w:w="7446" w:type="dxa"/>
            <w:tcBorders/>
            <w:shd w:fill="CCEEFF" w:val="clear"/>
            <w:vAlign w:val="center"/>
          </w:tcPr>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Stock received for tax withholdings on share-based payments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31.4</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87.1</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108.0</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Stock received for the exercise of stock options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0.6</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113.9</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103.1</w:t>
            </w:r>
          </w:p>
        </w:tc>
      </w:tr>
      <w:tr>
        <w:trPr/>
        <w:tc>
          <w:tcPr>
            <w:tcW w:w="7446"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Payables recorded for investments in Affiliates and contingent payment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4"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57.6</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29"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7.0</w:t>
            </w:r>
          </w:p>
        </w:tc>
        <w:tc>
          <w:tcPr>
            <w:tcW w:w="118" w:type="dxa"/>
            <w:tcBorders/>
            <w:shd w:fill="CCEEFF" w:val="clear"/>
            <w:vAlign w:val="center"/>
          </w:tcPr>
          <w:p>
            <w:pPr>
              <w:pStyle w:val="TableContents"/>
              <w:bidi w:val="0"/>
              <w:spacing w:before="0" w:after="283"/>
              <w:jc w:val="left"/>
              <w:rPr>
                <w:sz w:val="4"/>
                <w:szCs w:val="4"/>
              </w:rPr>
            </w:pPr>
            <w:r>
              <w:rPr>
                <w:sz w:val="4"/>
                <w:szCs w:val="4"/>
              </w:rPr>
            </w:r>
          </w:p>
        </w:tc>
        <w:tc>
          <w:tcPr>
            <w:tcW w:w="88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83.7</w:t>
            </w:r>
          </w:p>
        </w:tc>
      </w:tr>
      <w:tr>
        <w:trPr/>
        <w:tc>
          <w:tcPr>
            <w:tcW w:w="7446" w:type="dxa"/>
            <w:tcBorders/>
            <w:shd w:fill="FFFF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Right-of-use assets obtained in exchange for new operating leases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4"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17.5</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29"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8.8</w:t>
            </w:r>
          </w:p>
        </w:tc>
        <w:tc>
          <w:tcPr>
            <w:tcW w:w="118" w:type="dxa"/>
            <w:tcBorders/>
            <w:shd w:fill="FFFFFF" w:val="clear"/>
            <w:vAlign w:val="center"/>
          </w:tcPr>
          <w:p>
            <w:pPr>
              <w:pStyle w:val="TableContents"/>
              <w:bidi w:val="0"/>
              <w:spacing w:before="0" w:after="283"/>
              <w:jc w:val="left"/>
              <w:rPr>
                <w:sz w:val="4"/>
                <w:szCs w:val="4"/>
              </w:rPr>
            </w:pPr>
            <w:r>
              <w:rPr>
                <w:sz w:val="4"/>
                <w:szCs w:val="4"/>
              </w:rPr>
            </w:r>
          </w:p>
        </w:tc>
        <w:tc>
          <w:tcPr>
            <w:tcW w:w="88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13.0</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accompanying notes are an integral part of the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AFFILIATED MANAGERS GROUP, INC.</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w:t>
      </w:r>
      <w:r>
        <w:rPr>
          <w:rFonts w:ascii="Times New Roman;serif" w:hAnsi="Times New Roman;serif"/>
          <w:b/>
          <w:i w:val="false"/>
          <w:caps w:val="false"/>
          <w:smallCaps w:val="false"/>
          <w:strike w:val="false"/>
          <w:dstrike w:val="false"/>
          <w:sz w:val="20"/>
          <w:u w:val="none"/>
          <w:effect w:val="none"/>
        </w:rPr>
        <w:t>Business and Summary of Significant Accounting Policies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(a)Organization and Nature of Operations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Affiliated Managers Group, Inc. (“AMG” or the “Company”) is a strategic partner to leading independent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management firms globally.  AMG’s strategy is to generate long-term value by investing in high-quality independent partner-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owned firms, which the Company refers to as “Affiliates.”  The Company’s Affiliates provide a comprehensive and diverse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range of differentiated investment strategies designed to assist institutional and wealth</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clients worldwide in achieving their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objectives.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of the Company’s Affiliates operates through distinct legal entities, which affords the Company the flexibility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design a separate operating agreement for each Affiliate.  Each operating agreement reflects the specific terms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economic participation in the Affiliate, which, in each case, uses a “structured partnership interest.”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form of the Company’s structured partnership interests in Affiliates differs from Affiliate to Affiliate and ranges from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structures where the Company contractually shares in the Affiliate’s revenue without regard to expenses, comprising Affiliates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contribute a majority of the Company’s Consolidated revenue, to others where the Company contractually shares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revenue less agreed-upon expenses.  Further, the structure at a particular Affiliate, or the expenses that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agrees to share in, may change during the course of the Company’s investment.  Where the Company shares in the Affiliate’s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without regard to expenses, the Affiliate allocates a specified percentage of its revenue to the Company and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while using the remainder for operating expenses and additional distributions to Affiliate management.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and Affiliate management, therefore, participate in any increase or decrease in revenue and only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participates in any increase or decrease in expenses.  Under these structured partnership interests,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contractual share of revenue generally has priority over distributions to Affiliate management.  Where the Company shares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Affiliate’s revenue less agreed-upon expenses, the Company benefits from any increase in revenue or any decrease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agreed-upon expenses, but also has exposure to any decrease in revenue or any increase in such agreed-upon expenses.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degree of the Company’s exposure to agreed-upon expenses from these structured partnership interests varies by Affiliate.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(b)Basis of Presentation and Use of Estimates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Consolidated Financial Statements of the Company have been prepared in accordance with accounting principles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generally accepted in the U.S. (“GAAP”).  All intercompany balances and transactions have been eliminated.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Certain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reclassifications have been made to the prior period’s financial statements to conform to the current period’s presentation.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dollar amounts, except per share, per unit, and per option data in the text and tables herein, are stated in millions unless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otherwise indicated.</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preparation of financial statements in conformity with GAAP requires management to make estimates and assumptions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that affect the reported amounts and disclosures in the financial statements.  Actual results could differ from those estimates.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(c)Principles of Consolidation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evaluating whether an investment must be consolidated, the Company evaluates the risk, rewards, and significant terms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each of its Affiliates and other investments to determine if an investment is considered a voting rights entity (“VRE”) or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variable interest entity (“VIE”).  An entity is a VRE when the total equity investment at risk is sufficient to enable the entity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finance its activities independently, and when the equity holders have the obligation to absorb losses, the right to receive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residual returns, and the right to direct the activities of the entity that most significantly impact its economic performance.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entity is a VIE when it lacks one or more of the characteristics of a VRE, which, for the Company, are Affiliate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structured as partnerships (or similar entities) where the Company is a limited partner and lacks substantive kick-out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substantive participation rights over the general partner.  Assessing whether an entity is a VRE or VIE involves judgment.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Upon the occurrence of certain events, management reviews and reconsiders its previous conclusion regarding the status of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entity as a VRE or a VIE.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consolidates VREs when it has control over significant operating, financial, and investing decisions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entity.  When the Company lacks such control, but is deemed to have significant influence, the Company accounts for the VRE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equity method.  Investments with readily determinable fair values in which the Company does not have rights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exercise significant influence are recorded at fair value on the Consolidated Balance Sheets, with changes in fair value included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Investment and other income on the 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consolidates VIEs when it is the primary beneficiary of the entity, which is defined as having the power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direct the activities that most significantly impact the VIE’s economic performance and the obligation to absorb losses of, 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 to receive benefits from, the entity that could potentially be significant to the VIE.  Substantially all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Affiliates considered VIEs are controlled because the Company holds a majority of the voting interests or it is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managing member or general partner.  Furthermore, an Affiliate’s assets can be used for purposes other than the settlement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respective Affiliate’s obligations.  The Company applies the equity method of accounting to VIEs where the Company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 the primary beneficiary, but has the ability to exercise significant influence over operating and financial matters of the VIE.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See Note 4.</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Investments in Affiliates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Substantially all of the Company’s Affiliates are considered VIEs and are either consolidated or accounted for 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method.  A limited number of the Company’s Affiliates are considered VREs and most of these are accounted for under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equity method.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an Affiliate is consolidated, the portion of the earnings attributable to Affiliate management’s and any co-investor’s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ownership is included in Net income (non-controlling interests) in the Consolidated Statements of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Undistributed earnings attributable to Affiliate management’s and any co-investor’s equity ownership, along with their share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any tangible or intangible net assets, are included in Non-controlling interests on the Consolidated Balance Sheets.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interests where the holder has certain rights to demand settlement are presented, at their current redemption values,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Redeemable non-controlling interests or Other liabilities on the Consolidated Balance Sheets.  The Company periodically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issues, sells, and purchases the equity of its consolidated Affiliates.  Because these transactions take place between entities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common control, any gains or losses attributable to these transactions are required to be included in Additional paid-in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capital on the Consolidated Balance Sheets, net of any related income tax effects in the period the transaction occurs.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an Affiliate is accounted for under the equity method, the Company’s share of an Affiliate’s earnings or losses, net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amortization and impairments, is included in Equity method income (net) in the Consolidated Statements of Income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carrying value of the Affiliate is recorded in Equity method investments in Affiliates (net) in the Consolidated Balance Sheets.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performs assessments to determine if the fair value of an investment may have declined below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related carrying value for its Affiliates accounted for under the equity method for a period that the Company considers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other-than-temporary.  The Company performs these assessments if certain triggering events occur or annually during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fourth quarter.  The Company first considers whether certain qualitative factors indicate an increased likelihood of a decline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an Affiliate during the reporting period.  If such a decline is identified, and it is likely that an investment’s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may have declined below its carrying value, the Company performs a quantitative assessment to determine if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exists.  Impairments are recorded as an expense in Equity method income (net) to reduce the carrying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Affiliate to its fair value.</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 Sponsored Investment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Affiliates sponsor various investment products where the Affiliate also acts as the investment adviser.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investment products are typically owned primarily by third-party investors; however, certain products are funded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general partner and seed capital investments from the Company and its Affiliates.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Third-party investors in Affiliate sponsored investment products are generally entitled to substantially all of the economics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these products, except for the asset- and performance-based fees earned by the Company’s Affiliates or any gains or losses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attributable to the Company’s or its Affiliates’ investments in these products.  As a result, the Company generally does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 these products.  However, for certain products, the Company’s consolidated Affiliates, as the investment manager,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the power to direct the activities of the investment product and have an exposure to the economics of the product that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 than insignificant, though generally only for a short period while the product is established and has yet to attract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significant third-party investors.  When the products are consolidated, the Company retains the specialized investment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principles of the underlying products, and all of the underlying investments are carried at fair value in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the Consolidated Balance Sheets, with corresponding changes in the investments’ fair values included in Investment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income.  Purchases and sales of securities are included in purchases and sales of securities by consolidated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sponsored investment products in the Consolidated Statements of Cash Flows, respectively, and the third-party investors’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interests are recorded in Redeemable non-controlling interests.  When the Company or its consolidated Affiliates no longer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control these products, due to a reduction in ownership or other reasons, the products are deconsolidated with only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or its consolidated Affiliate’s investment in the product reported from the date of deconsolidation.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(d)Cash and Cash Equivalents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considers certain highly liquid investments, including money market mutual funds, with original maturities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three months or less to be cash equivalents.  Cash equivalents are stated at cost, which approximates market value due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short-term maturity of these investments.  Money market mutual funds with a floating net asset value (“NAV”) would not meet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definition of a cash equivalent if the fund has enacted liquidity fees or redemption gates.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(e)Receivables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Affiliates earn asset- and performance-based fees, which are billed based on the terms of the related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contracts.  Billed but uncollected asset- and performance-based fees are recorded in Receivables on the Consolidated Balance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Sheets and are generally short-term in nature.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of the Company’s Affiliates in the UK act as intermediaries between clients and their sponsored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Normal settlement periods on transactions initiated by these clients with the sponsored investment products result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unsettled fund share receivables and payables that are presented on a gross basis within Receivables and Payables and accrued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on the Consolidated Balance Sheets.  The gross presentation of these receivables and offsetting payables reflects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legal relationship between the underlying investors, the Company’s Affiliates, and the sponsored investment products.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(f)Investments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Marketable securities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Equity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securities are measured at fair value which reflects the cost of the investment as well as unrealized gains and losses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are recorded in Investment and other income.  Realized gains and losses on equity securities are recorded in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other income on the trade date on a specific identification basis, except for consolidated Affiliate sponsored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which use an average cost basis.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Debt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Debt securities are classified as either trading, available-for-sale, or held-to-maturity based on the Company’s intent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ability to hold the security.  Securities classified as trading are measured at fair value which reflects the cost of the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well as unrealized gains and losses which are recorded in Investment and other income.  Securities classified as available-for-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 are measured at fair value which reflects amortized cost of the investment as well as unrealized gains and losses which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recorded in Accumulated other comprehensive loss as a separate component of stockholders’ equity on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Balance Sheets.  Securities classified as held-to-maturity are measured at amortized cost.  Realized gains and losses on debt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 are recorded in Investment and other income.</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Other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Investments Measured at NAV as a Practical Expedient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Affiliates sponsor investment products in which the Company and its Affiliates may make general partner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seed capital investments.  These products generally operate in partnership form and apply the specialized fair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accounting for investment companies.  Because the products’ investments do not have readily determinable fair values,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uses the NAV of these investments as a practical expedient for their fair values.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Investments Without Readily Determinable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When an investment does not have a readily determinable fair value and does not qualify for the practical expedient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estimate fair value, such as an investment in a private corporation where the Company does not exercise significant influence,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generally elects to measure such investments at cost minus impairments, if any, plus or minus changes resulting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observable price changes in orderly transactions for identical or similar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Realized and unrealized gains and losses related to other investments are recorded in Investment and other income.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(g)Fair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determines the fair value of certain investment securities and other financial and non-financial assets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Fair value is determined based on the price that would be received for an asset or paid to transfer a liability in 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orderly transaction between market participants in the principal or most advantageous market at the measurement date, utilizing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 hierarchy of three different valuation techniques: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Level 1 - Unadjusted quoted market prices for identical instruments in active markets;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Level 2 - Quoted prices for similar instruments in active markets; quoted prices for identical or similar instruments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markets that are not active; and model-derived valuations whose inputs, or significant value drivers, are observable; and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Level 3 - Prices that reflect the Company’s own assumptions concerning unobservable inputs to the valuation model.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valuation models, the Company is required to make judgments about growth rates of assets under management,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attrition, asset- and performance-based fee rates, and expenses.  These valuation models also require judgments about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benefits, credit risk, interest rates, tax rates, discount rates, volatility, and discounts for lack of marketability.  These inputs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require significant management judgment and reflect the Company’s assumptions that the Company believes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participants would use in pricing the asset or liability.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(h)Acquired Client Relationships and Goodwill</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Each Affiliate in which the Company makes an investment has identifiable assets arising from contractual or other legal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rights with their clients (“acquired client relationships”).  In determining the value of acquired client relationships,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analyzes the net present value of these Affiliates’ existing client relationships based on a number of factors, including: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historical and potential future operating performance; the Affiliate’s historical and potential future rates of attrition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existing clients; the stability and longevity of existing client relationships; the Affiliate’s recent, as well as long-term,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performance; the characteristics of the firm’s products and investment styles; the stability and depth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Affiliate’s management team; and the Affiliate’s history and perceived franchise or brand value.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has determined that certain of its acquired client relationships meet the criteria to be considered indefinite-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lived assets because the Company expects the contracts to be renewed annually and, therefore, the cash flows generated by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contracts to continue indefinitely.  Accordingly, the Company does not amortize these intangible assets, but instead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assesses these assets annually or more frequently whenever events or circumstances occur indicating that the recorded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indefinite-lived acquired client relationship may be impaired.  Each reporting period, the Company assesses whether events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circumstances have occurred that indicate that the indefinite life criteria are no longer met.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has determined that certain of its acquired client relationships meet the criteria to be considered definite-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lived assets, including investment advisory contracts between its Affiliates and their underlying investors, and are amortized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over their expected period of economic benefit.  The expected period of economic benefit of definite-lived acquired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relationships is a judgment based on the historical and projected attrition rates of each Affiliate’s existing clients, and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factors that may influence the expected future economic benefit the Company will derive from these relationships.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lives of definite-lived acquired client relationships are analyzed annually or more frequently whenever events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circumstances have occurred that indicate the expected period of economic benefit may no longer be appropriate.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assesses for the possible impairment of indefinite- and definite-lived acquired client relationships annually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or more frequently whenever events or changes in circumstances indicate that the carrying amount of the asset may not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recoverable.  If such indicators exist, the Company considers various qualitative and quantitative factors (including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multiples) to determine if the fair value of each asset is greater than its carrying value.  If the carrying value is greater than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fair value, an expense would be recorded in Intangible amortization and impairments in the Consolidated Statements of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reduce the carrying value of the asset to fair value.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Goodwill represents the future economic benefits arising from assets acquired in a business combination that are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separately recognized.  Goodwill is not amortized, but is instead reviewed for impairment.  The Company performs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 assessment annually or more frequently whenever events or circumstances occur indicating that the carrying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its single reporting unit is in excess of its fair value.  In this assessment, the Company typically measures the fair value of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reporting unit using various qualitative and quantitative factors (including the Company’s market capitalization and market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multiples for asset management businesses).  If a potential impairment is more-likely-than-not, then the Company will perform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single step assessment with any excess of carrying value over fair value recorded as an expense in Intangible amortization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impairments. </w:t>
      </w:r>
    </w:p>
    <w:p>
      <w:pPr>
        <w:pStyle w:val="TextBody"/>
        <w:bidi w:val="0"/>
        <w:spacing w:lineRule="atLeast" w:line="200" w:before="0" w:after="0"/>
        <w:jc w:val="left"/>
        <w:rPr>
          <w:sz w:val="24"/>
        </w:rPr>
      </w:pPr>
      <w:r>
        <w:rPr>
          <w:rFonts w:ascii="Times New Roman;serif" w:hAnsi="Times New Roman;serif"/>
          <w:b w:val="false"/>
          <w:i/>
          <w:strike w:val="false"/>
          <w:dstrike w:val="false"/>
          <w:sz w:val="20"/>
          <w:u w:val="none"/>
          <w:effect w:val="none"/>
        </w:rPr>
        <w:t>(i)Fixed Assets</w:t>
      </w:r>
      <w:r>
        <w:rPr>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Fixed assets are recorded at cost and depreciated using the straight-line method over their estimated useful lives.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estimated useful lives of office equipment and furniture and fixtures range from two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ten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three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ten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years, respectively.  Computer software developed or obtained for internal use is amortized over the estimated useful life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software, which is generally two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to five years.  Leasehold improvements are amortized over the shorter of their estimated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useful lives or the term of the lease.  Buildings are amortized over their expected useful lives, generally not to exceed 39 years.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costs of improvements that extend the life of a fixed asset are capitalized, while the cost of repairs and maintenance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expensed as incurred.  Land and artwork are not depreciated; artwork is included in Other assets on the Consolidated Balance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Sheets.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(j)Leases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Leases are classified as either operating leases or finance leases.  The Company and its Affiliates currently lease office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space and equipment primarily under operating lease arrangements.  As these leases expire, it is expected that, in the normal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course of business, they will be renewed or replaced.  Whether a lease is classified as an operating lease or a finance lease,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and its Affiliates must record a right-of-use asset and a lease liability at the commencement date of the lease,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than for leases with an initial term of 12 months or less.  The Company and its Affiliates elect not to record short-term leases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an initial lease term less than 12 months on the Consolidated Balance Sheets.  Right-of-use assets and lease liabilities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included in Other assets and Other liabilities, respectively.  A lease liability is initially and subsequently reported at the present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of the outstanding lease payments determined by discounting those lease payments over the remaining lease term using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incremental borrowing rate of the legal entity entering into the lease as of the commencement date.  A right-of-use asset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initially reported at the present value of the corresponding lease liability plus any prepaid lease payments and initial direct costs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entering into the lease, and reduced by any lease incentives.  Subsequently, a right-of-use asset is reported at the present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of the lease liability adjusted for any prepaid or accrued lease payments, remaining balances of any lease incentives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received, unamortized initial direct costs of entering into the lease, and any impairments of the right-of-use asset.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and its Affiliates test for possible impairments of right-of-use assets annually or more frequently whenever events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changes in circumstances indicate that the carrying value of a right-of-use asset may exceed its fair value.  If the carrying value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 right-of-use asset exceeds its fair value, then the carrying value of the right-of-use asset is reduced to its fair value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 is recorded in Other expenses (net) in the Consolidated Statements of Income.  Subsequent to an impairment,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carrying value of the right-of-use asset is amortized on a straight-line basis over the remaining lease term.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liabilities and right-of-use assets based on variable lease payments that depend on an index or rate are initially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measured using the index or rate at the commencement date with any subsequent changes in variable lease payments recorded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Other expenses (net) as incurred.  Most lease agreements for office space that are classified as operating leases contain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renewal options, rent escalation clauses, or other lease incentives provided by the lessor.  Lease expense is accrued to recognize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escalation provisions and renewal options that are reasonably certain to be exercised, as well as lease incentives provided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by the lessor, on a straight-line basis over the lease term and is recorded in Other expenses (net).  If a right-of-use asset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impaired, the lease expense is subsequently recorded in Other expenses (net) as the straight-line amortization of the right-of-use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 and the accretion of the lease liability, thereby transitioning to a front-loaded expense recognition profile for the associated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and its Affiliates combine lease and non-lease components for their office space leases and separate non-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lease components for their equipment leases in calculating their lease liabilities.  Sublease income is recorded in Investment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other income.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(k)Debt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debt instruments are carried at amortized cost.  Unamortized discounts and debt issuance costs associated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its debt instruments, with the exception of the Company’s senior unsecured multicurrency revolving credit facility (the </w:t>
      </w:r>
    </w:p>
    <w:p>
      <w:pPr>
        <w:pStyle w:val="TextBody"/>
        <w:bidi w:val="0"/>
        <w:spacing w:lineRule="atLeast" w:line="200" w:before="0" w:after="0"/>
        <w:jc w:val="left"/>
        <w:rPr>
          <w:caps w:val="false"/>
          <w:smallCaps w:val="false"/>
          <w:strike w:val="false"/>
          <w:dstrike w:val="false"/>
          <w:u w:val="none"/>
          <w:effect w:val="none"/>
        </w:rPr>
      </w:pPr>
      <w:r>
        <w:rPr>
          <w:caps w:val="false"/>
          <w:smallCaps w:val="false"/>
          <w:strike w:val="false"/>
          <w:dstrike w:val="false"/>
          <w:u w:val="none"/>
          <w:effect w:val="none"/>
        </w:rPr>
        <w:t>“</w:t>
      </w:r>
      <w:r>
        <w:rPr>
          <w:rFonts w:ascii="Times New Roman;serif" w:hAnsi="Times New Roman;serif"/>
          <w:b w:val="false"/>
          <w:i w:val="false"/>
          <w:caps w:val="false"/>
          <w:smallCaps w:val="false"/>
          <w:strike w:val="false"/>
          <w:dstrike w:val="false"/>
          <w:sz w:val="20"/>
          <w:u w:val="none"/>
          <w:effect w:val="none"/>
        </w:rPr>
        <w:t xml:space="preserve">revolver”), are presented on the Consolidated Balance Sheets as an adjustment to the carrying value of the associated debt.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carrying value of the debt is accreted to the principal amount at maturity over the remaining life of the underlying debt.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accretion of the debt and the amortization of debt issuance costs, are recorded in Interest expense in the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Statements of Income, using the effective interest method.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Unamortized issuance costs associated with the revolver are recorded in Other assets and amortized over the remaining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term of the revolver to Interest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Gains and losses on repurchases or settlement of debt are recorded in Interest expense.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(l)Derivative Financial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and its Affiliates may use derivative financial instruments to offset exposure to changes in interest rates,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currency exchange rates, and markets.  The Company records derivatives on the Consolidated Balance Sheets at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The Company assesses hedge effectiveness at derivative inception and on a quarterly basis.  Changes in fair value of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hedging instrument that are excluded from the assessment of hedge effectiveness, also known as excluded components,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recorded in earnings on a straight-line basis over the respective period of the contracts.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derivative financial instruments designated as cash flow hedges, the Company uses a qualitative method of assessing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hedge effectiveness by comparing the notional amounts, timing of payments, currencies (for forward foreign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contracts), and interest rates (for interest rate swaps).  The effective portion of the unrealized gain or loss is recorded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Accumulated other comprehensive loss as a separate component of stockholders’ equity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reclassified to earnings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hedged item.  If the qualitative assessment indicates ineffectiveness, then the Company performs a quantitative assessment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is generally measured by comparing the present value of the cumulative change in the expected future cash flows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hedged contract with the present value of the cumulative change in the expected future cash flows of the hedged item.  Upon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termination of these instruments or the repayment of the Company’s outstanding Secured Overnight Financing Rate (“SOFR”)-</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borrowings, any gain or loss recorded in Accumulated other comprehensive loss will be reclassified into earnings.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Changes in the fair values of cash flow hedges are recorded in Change in net realized and unrealized gain (loss) on derivative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instruments in the Consolidated Statements of Comprehensive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net investment hedges, hedge effectiveness is measured using the spot rate method.  The effective portion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unrealized gain or loss is recorded in Accumulated other comprehensive loss as a separate component of stockholders’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reclassified to earnings with the hedged item.  Changes in the fair values of the effective net investment hedges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recorded in Foreign currency translation gain in the Consolidated Statements of Comprehensive Income.  Upon the sale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liquidation of the underlying investment, any gain or loss remaining in Accumulated other comprehensive loss will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reclassified to earnings.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If the Company’s or its Affiliates’ derivative financial instruments do not qualify as effective hedges, changes in the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value of the derivatives are recorded as a gain or loss in Investment and other income.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(m)Revenue Recognition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revenue primarily represents asset- and performance-based fees earned by the Company and its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for managing the assets of clients.  Substantially all of the Company’s and its Affiliates’ contracts contain a single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 obligation, which is the provision of investment management services.  Investment management, broker-dealer,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administrative services are performed and consumed simultaneously and, therefore, the Company recognizes these asset-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fees ratably over time.  Substantially all the Company’s asset-based fees for services are based on the value of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over time, which are typically determined using observable market data, or on committed capital.  Services may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invoiced in advance or in arrears and are payable upon receipt.  Any asset-based fees collected in advance are deferred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recognized as the services are performed and consumed.  Consolidated revenue recognized by the Company is adjusted for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 reimbursement arrangements.  The Company’s Affiliates may periodically either waive or reduce fees in order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attract or retain client assets or for other reasons.  Fee waivers or reductions are presented as a reduction to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in the Consolidated Statements of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Performance-based fees, including carried interest, are recognized upon the satisfaction of performance obligations,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resolution of any constraints, which include exceeding performance benchmarks or hurdle rates that may extend over one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more reporting periods, and when it is improbable that there will be a significant reversal in the amount of revenue recognized.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a result, any performance-based fees or carried interest recognized in the current reporting period may relate to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obligations satisfied in a previous reporting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and its Affiliates have contractual arrangements with third-parties to provide distribution-related services.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Fees received and expenses incurred under these arrangements are primarily based on the value of client assets over time.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Distribution-related fees are recorded in Consolidated revenue gross of any related expenses when the Company and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Affiliates are the principal in their role as primary obligor under their distribution-related services arrangements.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Distribution-related expenses are recorded in Selling, general and administrative in the 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and its Affiliates may enter into contracts for which the costs to obtain or fulfill the contract are based upon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percentage of the value of a client’s future assets under management.  The Company records these variable costs when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incurred because they are subject to market volatility and are not estimable upon the inception of a contract with a client.  Any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expenses paid in advance are capitalized and amortized on a systematic basis, consistent with the transfer of services, which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equivalent of recognizing the costs as incurred.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(n)Contingent Payment Obligations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enters into contingent payment obligations in connection with its investments in Affiliates.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obligations, the Company agrees to pay additional consideration to the sellers to the extent that certain specified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targets are achieved.  For consolidated Affiliates, the Company estimates the fair value of these potential future obligations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time the investment in an Affiliate is consummated and records a liability in Other liabilities.  The Company then accretes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obligation to its expected payment amount over the period until the arrangement is measured.  If the Company’s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payment amount subsequently changes, the obligation is reduced or increased in the current period resulting in a gain or loss,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Gains and losses resulting from changes to expected payments are included in Other expenses (net)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accretion of these obligations to their expected payment amounts are included in Interest expense.  For Affiliates accounted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equity method, the Company records a liability in Other liabilities when a payment becomes probable, with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corresponding increase to the carrying value of the Affiliate in Equity method investments in Affiliates (net).</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(o)Income Taxes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accounts for income taxes using the asset and liability method, which requires the recognition of deferred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 assets and liabilities for the expected future tax consequences of differences between the financial reporting bases of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liabilities and their respective tax bases, using tax rates in effect for the year in which the differences are expected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reverse.  The effect on deferred tax assets and liabilities of a change in tax rates is recorded in Income tax expense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Income in the period when the change is enacted.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regularly assesses the recoverability of its deferred tax assets to determine whether these assets are more-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likely-than-not to be realized.  In making such a determination, the Company considers all available positive and negative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evidence, including future reversals of existing taxable temporary differences, projected future taxable income, tax planning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strategies, and results of recent operations.  If the Company determines it would not be able to realize its deferred tax assets, it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records a valuation allowance to reflect the deferred tax assets at their current value.  The recording of adjustments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valuation allowance will generally increase or decrease Income tax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records unrecognized tax benefits based on whether it is more-likely-than-not that the uncertain tax positions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will be sustained on the basis of the technical merits of the position.  If it is determined that an uncertain tax position is more-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likely-than-not to be sustained, the Company records the largest amount of tax benefit that is more than 50% likely to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realized upon ultimate settlement with the related tax authority in Income tax expense.  Interest and penalties related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unrecognized tax benefits are also recorded in Income tax expense.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elected to treat taxes due on U.S. inclusions in taxable income related to Global Intangible Low Taxed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Income (“GILTI”) as a current period expense.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(p)Foreign Currency Translation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and liabilities denominated in a functional currency other than the U.S. dollar are translated into U.S. dollars using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exchange rates in effect as of the Consolidated Balance Sheet date.  Revenue and expenses denominated in a functional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currency other than the U.S. dollar are translated into U.S. dollars using average exchange rates for the relevant period.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Because of the long-term nature of the Company’s investments in its Affiliates, net translation exchange gains and losses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resulting from foreign currency translation are recorded in Accumulated other comprehensive loss.  Foreign currency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 gains and losses are included in Investment and other income.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(q)Concentration of Credit Risk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instruments that potentially subject the Company to significant concentrations of credit risk consist principally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cash investments and derivative financial instruments.  The Company and its Affiliates maintain cash and cash equivalents,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investments, and, at times, certain derivative financial instruments with various high credit-quality financial institutions.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financial institutions are typically located in countries in which the Company and its Affiliates operate.  For the Company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of its Affiliates, cash deposits at a financial institution may, from time to time, exceed insurance limits (similar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Federal Deposit Insurance Corporation insurance limits).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(r)Earnings Per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calculation of Earnings per share (basic) is based on the weighted average number of shares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outstanding during the period.  Earnings per share (diluted) is similar to Earnings per share (basic), but adjusts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dilutive effect of the potential issuance of incremental shares of the Company’s common stock.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had share-based compensation awards outstanding during the periods presented with vesting provisions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subject to certain performance conditions.  These awards are excluded from the calculation of Earnings per share (diluted) if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performance condition has not been met as of the end of the reporting period.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agreements with Affiliate equity holders that provide the Company a conditional right to call and holders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conditional right to put their interests to the Company at certain intervals.  These arrangements are presented at their current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 value as Redeemable non-controlling interests.  The Company may settle these interests in cash or, subject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terms of the applicable agreement, shares of its common stock, or other forms of consideration, at its option.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must assume the settlement of all of its Redeemable non-controlling interests using the maximum number of shares permitted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its arrangements.  Purchases are assumed to occur at the beginning of the reporting period.  The Company acquires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rights to the underlying Affiliate equity when purchased, and therefore, the earnings that would be acquired (net of tax)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assumed to increase Net income (controlling interest) in the computation of Earnings per share (diluted).  The issuance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shares and the related income acquired are excluded from the calculation if an assumed purchase of Redeemable non-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controlling interests would be anti-dilutive to diluted earnings per share.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had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junior convertible securities outstanding</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during the periods presented and is required to apply the if-</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converted method to these securities in its calculation of Earnings per share (diluted) for the period in which they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outstanding.  Under the if-converted method, shares that are issuable upon conversion are deemed outstanding, regardless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whether the securities are contractually convertible into the Company’s common stock at that time.  For this calculation,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 expense (net of tax) attributable to these dilutive securities is added back to Net income (controlling interest)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Income, reflecting the assumption that the securities have been converted.  Issuable shares for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and related interest expense are excluded from the calculation if an assumed conversion would be anti-dilutive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diluted earnings per share.</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(s)Share-Based Compensation Plans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recognizes expenses for all share-based compensation arrangements based on the number of awards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to vest.  The expense for awards without performance conditions is recognized on a straight-line basis over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requisite service period, including grants that are subject to graded vesting.  The Company recognizes expenses for all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arrangements on a straight-line basis for each separately vesting portion of the award.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 windfalls or shortfalls are recorded in Income tax expense and have been classified as operating activities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Consolidated Statements of Cash Flows.  Taxes paid by the Company when it withholds shares to satisfy tax withholding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obligations are classified as a financing activity in the Consolidated Statements of Cash Flows.</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(t)Recently Adopted Accounting Standards and Developments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Recently Adopted Accounting Standards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Effective for the financial year ended December 31, 2024 and for interim periods beginning January 1, 2025,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adopted Accounting Standard Update (“ASU”) 2023-07, Segment Reporting: Improvements to Reportable Segment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Disclosures.  Effective January 1, 2025, the Company adopted ASU 2024-01, Compensation — Stock Compensation: Scope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Application of Profits Interest and Similar Awards.  Effective for the financial year ended December 31, 2025,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adopted ASU 2023-09, Income Taxes (Topic 740): Improvements to Income Tax Disclosures, using a retrospective method,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requires greater disaggregation of income tax disclosures related to the income tax rate reconciliation and income taxes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paid.  The adoption of these standards did not have a material impact on the Company’s Consolidated Financial Statements.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Recent Accounting Developments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2024, the Financial Accounting Standards Board (“FASB”) issued ASU 2024-03, Income Statement —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Reporting Comprehensive Income — Expense Disaggregation Disclosures (Subtopic 220-40): Disaggregation of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Statement Expenses, which requires improved disclosure of the nature and disaggregation of income statement expenses.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standard is effective for annual periods beginning after December 15, 2026 and interim periods beginning after December 15,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2027.  The Company is currently evaluating the potential impact that this standard may have on its Consolidated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May 2025, the FASB issued ASU 2025-03, Business Combinations (Topic 805) and Consolidation (Topic 810):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Determining the Accounting Acquirer in the Acquisition of a Variable Interest Entity, which revises guidance on how an entity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should identify the accounting acquirer in a business combination in which the legal acquiree is a VIE.  The standard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effective for annual periods beginning after December 15, 2026 and interim periods within those annual reporting periods.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 is currently evaluating the potential impact that this standard may have on its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September 2025, the FASB issued ASU 2025-06, Intangibles — Goodwill and Other — Internal-Use Software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(Subtopic 350-40): Targeted Improvements to the Accounting for Internal-Use Software, which increases the operability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recognition guidance considering different methods of software development.  The standard is effective for annual periods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beginning after December 15, 2027 and interim periods within those annual reporting periods.  The Company is currently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evaluating the potential impact that this standard may have on its Consolidated Financial Statements.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2025, the FASB issued ASU 2025-09, Derivatives and Hedging (Topic 815): Hedge Accounting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Improvements, which amends certain aspects of the hedge accounting guidance to more closely align hedge accounting with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economics of an entity’s risk management activities.  The standard is effective for annual reporting periods beginning after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15, 2026 and interim periods within those annual reporting periods.  The Company is currently evaluating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potential impact that this standard may have on its Consolidated Financial Statements.</w:t>
      </w:r>
      <w:r>
        <w:rPr>
          <w:caps w:val="false"/>
          <w:smallCaps w:val="false"/>
          <w:sz w:val="24"/>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2.</w:t>
      </w:r>
      <w:r>
        <w:rPr>
          <w:rFonts w:ascii="Times New Roman;serif" w:hAnsi="Times New Roman;serif"/>
          <w:b/>
          <w:i w:val="false"/>
          <w:caps w:val="false"/>
          <w:smallCaps w:val="false"/>
          <w:strike w:val="false"/>
          <w:dstrike w:val="false"/>
          <w:sz w:val="20"/>
          <w:u w:val="none"/>
          <w:effect w:val="none"/>
        </w:rPr>
        <w:t>Investments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Company’s Investments:</w:t>
      </w:r>
    </w:p>
    <w:tbl>
      <w:tblPr>
        <w:tblW w:w="8831" w:type="dxa"/>
        <w:jc w:val="left"/>
        <w:tblInd w:w="0" w:type="dxa"/>
        <w:tblLayout w:type="fixed"/>
        <w:tblCellMar>
          <w:top w:w="28" w:type="dxa"/>
          <w:left w:w="28" w:type="dxa"/>
          <w:bottom w:w="28" w:type="dxa"/>
          <w:right w:w="28" w:type="dxa"/>
        </w:tblCellMar>
      </w:tblPr>
      <w:tblGrid>
        <w:gridCol w:w="7216"/>
        <w:gridCol w:w="109"/>
        <w:gridCol w:w="676"/>
        <w:gridCol w:w="109"/>
        <w:gridCol w:w="721"/>
      </w:tblGrid>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21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Marketable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marketable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84.8</w:t>
            </w:r>
          </w:p>
        </w:tc>
      </w:tr>
      <w:tr>
        <w:trPr/>
        <w:tc>
          <w:tcPr>
            <w:tcW w:w="721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Other investments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 measured at NAV as a practical expedient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576.4</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 without readily determinable fair values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other investments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626.8</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$711.6</w:t>
            </w:r>
          </w:p>
        </w:tc>
      </w:tr>
    </w:tbl>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Marketable Securities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Equity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cost, gross unrealized gains, gross unrealized losses, and fair value of investments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equity securities:</w:t>
      </w:r>
    </w:p>
    <w:tbl>
      <w:tblPr>
        <w:tblW w:w="8441" w:type="dxa"/>
        <w:jc w:val="left"/>
        <w:tblInd w:w="0" w:type="dxa"/>
        <w:tblLayout w:type="fixed"/>
        <w:tblCellMar>
          <w:top w:w="28" w:type="dxa"/>
          <w:left w:w="28" w:type="dxa"/>
          <w:bottom w:w="28" w:type="dxa"/>
          <w:right w:w="28" w:type="dxa"/>
        </w:tblCellMar>
      </w:tblPr>
      <w:tblGrid>
        <w:gridCol w:w="7036"/>
        <w:gridCol w:w="109"/>
        <w:gridCol w:w="571"/>
        <w:gridCol w:w="109"/>
        <w:gridCol w:w="616"/>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0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$37.5</w:t>
            </w:r>
          </w:p>
        </w:tc>
      </w:tr>
      <w:tr>
        <w:trPr/>
        <w:tc>
          <w:tcPr>
            <w:tcW w:w="703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Unrealized gains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6.1</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Unrealized losses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(8.8)</w:t>
            </w:r>
          </w:p>
        </w:tc>
      </w:tr>
      <w:tr>
        <w:trPr/>
        <w:tc>
          <w:tcPr>
            <w:tcW w:w="703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investments in equity securities include consolidated Affiliate sponsored investment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products with fair values of $10.9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$9.2 million,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the Company recognized net unrealized gains on equity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still held as of December 31, 2023, 2024, 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$2.9 million, $1.2 million, and $5.5 million,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Debt Securities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cost, gross unrealized gains, gross unrealized losses, and fair value of investments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Affiliate sponsored investment products classified as trading:</w:t>
      </w:r>
    </w:p>
    <w:tbl>
      <w:tblPr>
        <w:tblW w:w="8441" w:type="dxa"/>
        <w:jc w:val="left"/>
        <w:tblInd w:w="0" w:type="dxa"/>
        <w:tblLayout w:type="fixed"/>
        <w:tblCellMar>
          <w:top w:w="28" w:type="dxa"/>
          <w:left w:w="28" w:type="dxa"/>
          <w:bottom w:w="28" w:type="dxa"/>
          <w:right w:w="28" w:type="dxa"/>
        </w:tblCellMar>
      </w:tblPr>
      <w:tblGrid>
        <w:gridCol w:w="7036"/>
        <w:gridCol w:w="109"/>
        <w:gridCol w:w="571"/>
        <w:gridCol w:w="109"/>
        <w:gridCol w:w="616"/>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$49.4</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Unrealized gains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Unrealized losses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Fair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years ended December 31, 2023, 2024, and 2025, the Company recognized net unrealized gains on debt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classified as trading still held as of December 31, 2023, 2024, 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$0.8 million, $0.5 million, and $2.8 million,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years ended December 31,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2024, the Company received $511.1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$825.2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proceeds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from the maturities of available-for-sale securities, respectively.  For the year ended December 31, 2025, there were no</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maturities of available-for-sale securities.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Other Investments</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 xml:space="preserve">Investments Measured at NAV as a Practical Expedient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fair values of investments that are measured at NAV as a practical expedient and 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related unfunded commitments:</w:t>
      </w:r>
    </w:p>
    <w:tbl>
      <w:tblPr>
        <w:tblW w:w="9306" w:type="dxa"/>
        <w:jc w:val="left"/>
        <w:tblInd w:w="0" w:type="dxa"/>
        <w:tblLayout w:type="fixed"/>
        <w:tblCellMar>
          <w:top w:w="28" w:type="dxa"/>
          <w:left w:w="28" w:type="dxa"/>
          <w:bottom w:w="28" w:type="dxa"/>
          <w:right w:w="28" w:type="dxa"/>
        </w:tblCellMar>
      </w:tblPr>
      <w:tblGrid>
        <w:gridCol w:w="4831"/>
        <w:gridCol w:w="109"/>
        <w:gridCol w:w="886"/>
        <w:gridCol w:w="109"/>
        <w:gridCol w:w="1111"/>
        <w:gridCol w:w="109"/>
        <w:gridCol w:w="886"/>
        <w:gridCol w:w="109"/>
        <w:gridCol w:w="1156"/>
      </w:tblGrid>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483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15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r>
      <w:tr>
        <w:trPr/>
        <w:tc>
          <w:tcPr>
            <w:tcW w:w="4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Unfunded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Commitments</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Unfunded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Commitments</w:t>
            </w:r>
          </w:p>
        </w:tc>
      </w:tr>
      <w:tr>
        <w:trPr/>
        <w:tc>
          <w:tcPr>
            <w:tcW w:w="48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Investments with limited liquidity</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$258.3</w:t>
            </w:r>
          </w:p>
        </w:tc>
      </w:tr>
      <w:tr>
        <w:trPr/>
        <w:tc>
          <w:tcPr>
            <w:tcW w:w="48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Investments with periodic liquidity</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24.7</w:t>
            </w:r>
          </w:p>
        </w:tc>
      </w:tr>
      <w:tr>
        <w:trPr/>
        <w:tc>
          <w:tcPr>
            <w:tcW w:w="4831" w:type="dxa"/>
            <w:tcBorders/>
            <w:shd w:fill="CCEEFF" w:val="clear"/>
            <w:vAlign w:val="center"/>
          </w:tcPr>
          <w:p>
            <w:pPr>
              <w:pStyle w:val="TableContents"/>
              <w:bidi w:val="0"/>
              <w:spacing w:lineRule="atLeast" w:line="200" w:before="0" w:after="0"/>
              <w:jc w:val="left"/>
              <w:rPr/>
            </w:pPr>
            <w:r>
              <w:rPr>
                <w:caps w:val="false"/>
                <w:smallCaps w:val="false"/>
                <w:strike w:val="false"/>
                <w:dstrike w:val="false"/>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Total</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$283.0</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 xml:space="preserve">The Company expects to receive distributions related to its interests in investments with limited liquidity as the underlying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assets are liquidated over the life of the investments, which is generally up to 15 years.  The Company accounts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majority of its interests in investments with limited liquidity one quarter in arrears (adjusted for current period calls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distributions).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Investments with periodic liquidity are generally redeemable on a daily, monthly, or quarterly basis.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(3)</w:t>
      </w:r>
      <w:r>
        <w:rPr>
          <w:rFonts w:ascii="Times New Roman;serif" w:hAnsi="Times New Roman;serif"/>
          <w:b w:val="false"/>
          <w:i w:val="false"/>
          <w:caps w:val="false"/>
          <w:smallCaps w:val="false"/>
          <w:strike w:val="false"/>
          <w:dstrike w:val="false"/>
          <w:sz w:val="20"/>
          <w:u w:val="none"/>
          <w:effect w:val="none"/>
        </w:rPr>
        <w:t xml:space="preserve">Investments measured at NAV as a practical expedient primarily invest in a broad range of private markets.  Fair value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attributable to the controlling interest was $370.1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$456.6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pStyle w:val="TextBody"/>
        <w:bidi w:val="0"/>
        <w:spacing w:lineRule="atLeast" w:line="200" w:before="0" w:after="0"/>
        <w:jc w:val="left"/>
        <w:rPr>
          <w:rFonts w:ascii="Times New Roman;serif" w:hAnsi="Times New Roman;serif"/>
          <w:b w:val="false"/>
          <w:i/>
          <w:strike w:val="false"/>
          <w:dstrike w:val="false"/>
          <w:sz w:val="20"/>
          <w:u w:val="none"/>
          <w:effect w:val="none"/>
        </w:rPr>
      </w:pPr>
      <w:r>
        <w:rPr>
          <w:rFonts w:ascii="Times New Roman;serif" w:hAnsi="Times New Roman;serif"/>
          <w:b w:val="false"/>
          <w:i/>
          <w:strike w:val="false"/>
          <w:dstrike w:val="false"/>
          <w:sz w:val="20"/>
          <w:u w:val="none"/>
          <w:effect w:val="none"/>
        </w:rPr>
        <w:t>Investments Without Readily Determinable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summarizes the cost, cumulative unrealized gains, and carrying amount of the Company’s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 a private corporation where it does not exercise significant influence, and does not have a readily determinable fair value:</w:t>
      </w:r>
    </w:p>
    <w:tbl>
      <w:tblPr>
        <w:tblW w:w="8561" w:type="dxa"/>
        <w:jc w:val="left"/>
        <w:tblInd w:w="0" w:type="dxa"/>
        <w:tblLayout w:type="fixed"/>
        <w:tblCellMar>
          <w:top w:w="28" w:type="dxa"/>
          <w:left w:w="28" w:type="dxa"/>
          <w:bottom w:w="28" w:type="dxa"/>
          <w:right w:w="28" w:type="dxa"/>
        </w:tblCellMar>
      </w:tblPr>
      <w:tblGrid>
        <w:gridCol w:w="7156"/>
        <w:gridCol w:w="109"/>
        <w:gridCol w:w="571"/>
        <w:gridCol w:w="109"/>
        <w:gridCol w:w="616"/>
      </w:tblGrid>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15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Cumulative unrealized gains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Carrying amount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years ended December 31, 2023, 2024, and 2025, the Company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recognize any net unrealized gains or losses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on the underlying investment still held as of December 31, 2023, 2024, and 2025, respectively.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other investments:</w:t>
      </w:r>
    </w:p>
    <w:tbl>
      <w:tblPr>
        <w:tblW w:w="9616" w:type="dxa"/>
        <w:jc w:val="left"/>
        <w:tblInd w:w="0" w:type="dxa"/>
        <w:tblLayout w:type="fixed"/>
        <w:tblCellMar>
          <w:top w:w="28" w:type="dxa"/>
          <w:left w:w="28" w:type="dxa"/>
          <w:bottom w:w="28" w:type="dxa"/>
          <w:right w:w="28" w:type="dxa"/>
        </w:tblCellMar>
      </w:tblPr>
      <w:tblGrid>
        <w:gridCol w:w="3196"/>
        <w:gridCol w:w="109"/>
        <w:gridCol w:w="1051"/>
        <w:gridCol w:w="109"/>
        <w:gridCol w:w="1126"/>
        <w:gridCol w:w="109"/>
        <w:gridCol w:w="676"/>
        <w:gridCol w:w="109"/>
        <w:gridCol w:w="1051"/>
        <w:gridCol w:w="109"/>
        <w:gridCol w:w="1126"/>
        <w:gridCol w:w="109"/>
        <w:gridCol w:w="736"/>
      </w:tblGrid>
      <w:tr>
        <w:trPr/>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1"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3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Total </w:t>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Measured at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NAV as a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Practical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Expedient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Without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Readily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Determinable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1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$539.0</w:t>
            </w:r>
          </w:p>
        </w:tc>
      </w:tr>
      <w:tr>
        <w:trPr/>
        <w:tc>
          <w:tcPr>
            <w:tcW w:w="319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Purchases and commitments funded</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147.6</w:t>
            </w:r>
          </w:p>
        </w:tc>
      </w:tr>
      <w:tr>
        <w:trPr/>
        <w:tc>
          <w:tcPr>
            <w:tcW w:w="31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Sales and distributions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(105.5)</w:t>
            </w:r>
          </w:p>
        </w:tc>
      </w:tr>
      <w:tr>
        <w:trPr/>
        <w:tc>
          <w:tcPr>
            <w:tcW w:w="319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realized and unrealized gains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45.7</w:t>
            </w:r>
          </w:p>
        </w:tc>
      </w:tr>
      <w:tr>
        <w:trPr/>
        <w:tc>
          <w:tcPr>
            <w:tcW w:w="31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$626.8</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For the year ended December 31, 2025, purchases and commitments funded includes the transfer of $53.4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interests from Equity method investments in Affiliates (net) associated with the Comvest Transaction.  See Note 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3.</w:t>
      </w:r>
      <w:r>
        <w:rPr>
          <w:rFonts w:ascii="Times New Roman;serif" w:hAnsi="Times New Roman;serif"/>
          <w:b/>
          <w:i w:val="false"/>
          <w:caps w:val="false"/>
          <w:smallCaps w:val="false"/>
          <w:strike w:val="false"/>
          <w:dstrike w:val="false"/>
          <w:sz w:val="20"/>
          <w:u w:val="none"/>
          <w:effect w:val="none"/>
        </w:rPr>
        <w:t>Fair Value Measurements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summarize financial assets and liabilities that are measured at fair value on a recurring basis:</w:t>
      </w:r>
    </w:p>
    <w:tbl>
      <w:tblPr>
        <w:tblW w:w="8256" w:type="dxa"/>
        <w:jc w:val="left"/>
        <w:tblInd w:w="0" w:type="dxa"/>
        <w:tblLayout w:type="fixed"/>
        <w:tblCellMar>
          <w:top w:w="28" w:type="dxa"/>
          <w:left w:w="28" w:type="dxa"/>
          <w:bottom w:w="28" w:type="dxa"/>
          <w:right w:w="28" w:type="dxa"/>
        </w:tblCellMar>
      </w:tblPr>
      <w:tblGrid>
        <w:gridCol w:w="4741"/>
        <w:gridCol w:w="109"/>
        <w:gridCol w:w="1141"/>
        <w:gridCol w:w="109"/>
        <w:gridCol w:w="631"/>
        <w:gridCol w:w="109"/>
        <w:gridCol w:w="631"/>
        <w:gridCol w:w="109"/>
        <w:gridCol w:w="676"/>
      </w:tblGrid>
      <w:tr>
        <w:trPr/>
        <w:tc>
          <w:tcPr>
            <w:tcW w:w="4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56" w:type="dxa"/>
            <w:gridSpan w:val="5"/>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 Measurements</w:t>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156" w:type="dxa"/>
            <w:gridSpan w:val="5"/>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3</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Assets</w:t>
            </w:r>
            <w:r>
              <w:rPr>
                <w:rFonts w:ascii="Times New Roman;serif" w:hAnsi="Times New Roman;serif"/>
                <w:b/>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 in equity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 in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Liabilities</w:t>
            </w:r>
            <w:r>
              <w:rPr>
                <w:rFonts w:ascii="Times New Roman;serif" w:hAnsi="Times New Roman;serif"/>
                <w:b/>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Contingent payment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Affiliate equity purchase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r>
    </w:tbl>
    <w:tbl>
      <w:tblPr>
        <w:tblW w:w="8256" w:type="dxa"/>
        <w:jc w:val="left"/>
        <w:tblInd w:w="0" w:type="dxa"/>
        <w:tblLayout w:type="fixed"/>
        <w:tblCellMar>
          <w:top w:w="28" w:type="dxa"/>
          <w:left w:w="28" w:type="dxa"/>
          <w:bottom w:w="28" w:type="dxa"/>
          <w:right w:w="28" w:type="dxa"/>
        </w:tblCellMar>
      </w:tblPr>
      <w:tblGrid>
        <w:gridCol w:w="4741"/>
        <w:gridCol w:w="109"/>
        <w:gridCol w:w="1141"/>
        <w:gridCol w:w="109"/>
        <w:gridCol w:w="631"/>
        <w:gridCol w:w="109"/>
        <w:gridCol w:w="631"/>
        <w:gridCol w:w="109"/>
        <w:gridCol w:w="676"/>
      </w:tblGrid>
      <w:tr>
        <w:trPr/>
        <w:tc>
          <w:tcPr>
            <w:tcW w:w="4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156" w:type="dxa"/>
            <w:gridSpan w:val="5"/>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 Measurements</w:t>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restart"/>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December 31,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c>
          <w:tcPr>
            <w:tcW w:w="109" w:type="dxa"/>
            <w:vMerge w:val="restart"/>
            <w:tcBorders/>
            <w:vAlign w:val="center"/>
          </w:tcPr>
          <w:p>
            <w:pPr>
              <w:pStyle w:val="TableContents"/>
              <w:bidi w:val="0"/>
              <w:spacing w:before="0" w:after="283"/>
              <w:jc w:val="left"/>
              <w:rPr>
                <w:sz w:val="4"/>
                <w:szCs w:val="4"/>
              </w:rPr>
            </w:pPr>
            <w:r>
              <w:rPr>
                <w:sz w:val="4"/>
                <w:szCs w:val="4"/>
              </w:rPr>
            </w:r>
          </w:p>
        </w:tc>
        <w:tc>
          <w:tcPr>
            <w:tcW w:w="2156" w:type="dxa"/>
            <w:gridSpan w:val="5"/>
            <w:vMerge w:val="continue"/>
            <w:tcBorders>
              <w:bottom w:val="single" w:sz="8" w:space="0" w:color="000000"/>
            </w:tcBorders>
            <w:tcMar>
              <w:top w:w="0" w:type="dxa"/>
              <w:left w:w="0" w:type="dxa"/>
              <w:right w:w="0" w:type="dxa"/>
            </w:tcMar>
            <w:vAlign w:val="center"/>
          </w:tcPr>
          <w:p>
            <w:pPr>
              <w:pStyle w:val="Normal"/>
              <w:bidi w:val="0"/>
              <w:jc w:val="left"/>
              <w:rPr/>
            </w:pPr>
            <w:r>
              <w:rPr/>
            </w:r>
          </w:p>
        </w:tc>
      </w:tr>
      <w:tr>
        <w:trPr/>
        <w:tc>
          <w:tcPr>
            <w:tcW w:w="474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09" w:type="dxa"/>
            <w:vMerge w:val="continue"/>
            <w:tcBorders/>
            <w:vAlign w:val="center"/>
          </w:tcPr>
          <w:p>
            <w:pPr>
              <w:pStyle w:val="Normal"/>
              <w:bidi w:val="0"/>
              <w:jc w:val="left"/>
              <w:rPr/>
            </w:pPr>
            <w:r>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1</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2</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Level 3</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Assets</w:t>
            </w:r>
            <w:r>
              <w:rPr>
                <w:rFonts w:ascii="Times New Roman;serif" w:hAnsi="Times New Roman;serif"/>
                <w:b/>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 in equity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Investments in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Financial Liabilities</w:t>
            </w:r>
            <w:r>
              <w:rPr>
                <w:rFonts w:ascii="Times New Roman;serif" w:hAnsi="Times New Roman;serif"/>
                <w:b/>
                <w:i w:val="false"/>
                <w:caps w:val="false"/>
                <w:smallCaps w:val="false"/>
                <w:sz w:val="1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7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Contingent payment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r>
      <w:tr>
        <w:trPr/>
        <w:tc>
          <w:tcPr>
            <w:tcW w:w="47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Affiliate equity purchase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161.2</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Amounts are recorded in Investments.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Amounts are recorded in Other liabilities.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Level 3 Financial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Level 3 liabilities:</w:t>
      </w:r>
    </w:p>
    <w:tbl>
      <w:tblPr>
        <w:tblW w:w="9981" w:type="dxa"/>
        <w:jc w:val="left"/>
        <w:tblInd w:w="0" w:type="dxa"/>
        <w:tblLayout w:type="fixed"/>
        <w:tblCellMar>
          <w:top w:w="28" w:type="dxa"/>
          <w:left w:w="28" w:type="dxa"/>
          <w:bottom w:w="28" w:type="dxa"/>
          <w:right w:w="28" w:type="dxa"/>
        </w:tblCellMar>
      </w:tblPr>
      <w:tblGrid>
        <w:gridCol w:w="4906"/>
        <w:gridCol w:w="109"/>
        <w:gridCol w:w="961"/>
        <w:gridCol w:w="109"/>
        <w:gridCol w:w="1336"/>
        <w:gridCol w:w="109"/>
        <w:gridCol w:w="961"/>
        <w:gridCol w:w="109"/>
        <w:gridCol w:w="1381"/>
      </w:tblGrid>
      <w:tr>
        <w:trPr/>
        <w:tc>
          <w:tcPr>
            <w:tcW w:w="4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4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6" w:type="dxa"/>
            <w:gridSpan w:val="7"/>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4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4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Affiliate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Equity Purchase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Contingent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Payment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Affiliate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Equity Purchase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Obligations</w:t>
            </w:r>
          </w:p>
        </w:tc>
      </w:tr>
      <w:tr>
        <w:trPr/>
        <w:tc>
          <w:tcPr>
            <w:tcW w:w="49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r>
      <w:tr>
        <w:trPr/>
        <w:tc>
          <w:tcPr>
            <w:tcW w:w="49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Purchases and issuances</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240.5</w:t>
            </w:r>
          </w:p>
        </w:tc>
      </w:tr>
      <w:tr>
        <w:trPr/>
        <w:tc>
          <w:tcPr>
            <w:tcW w:w="49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Settlements and reductions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(176.5)</w:t>
            </w:r>
          </w:p>
        </w:tc>
      </w:tr>
      <w:tr>
        <w:trPr/>
        <w:tc>
          <w:tcPr>
            <w:tcW w:w="49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Net realized and unrealized (gains) losses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42.4</w:t>
            </w:r>
          </w:p>
        </w:tc>
      </w:tr>
      <w:tr>
        <w:trPr/>
        <w:tc>
          <w:tcPr>
            <w:tcW w:w="49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$161.2</w:t>
            </w:r>
          </w:p>
        </w:tc>
      </w:tr>
      <w:tr>
        <w:trPr/>
        <w:tc>
          <w:tcPr>
            <w:tcW w:w="49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3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change in unrealized (gains) losses relating to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instruments still held at the reporting date</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$43.3</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Affiliate equity purchase obligation activity includes transfers from Redeemable non-controlling interests.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Gains and losses resulting from changes to expected payments related to contingent payment obligations and the accretion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 these obligations are included in Other expenses (net) and included in Interest expense, respectively.  Changes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 value of Affiliate equity purchase obligations are included in Compensation and related expenses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Statements of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certain quantitative information about the significant unobservable inputs used in valuing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Company’s recurring Level 3 fair value measurements:</w:t>
      </w:r>
    </w:p>
    <w:tbl>
      <w:tblPr>
        <w:tblW w:w="10166" w:type="dxa"/>
        <w:jc w:val="left"/>
        <w:tblInd w:w="0" w:type="dxa"/>
        <w:tblLayout w:type="fixed"/>
        <w:tblCellMar>
          <w:top w:w="28" w:type="dxa"/>
          <w:left w:w="28" w:type="dxa"/>
          <w:bottom w:w="28" w:type="dxa"/>
          <w:right w:w="28" w:type="dxa"/>
        </w:tblCellMar>
      </w:tblPr>
      <w:tblGrid>
        <w:gridCol w:w="1741"/>
        <w:gridCol w:w="109"/>
        <w:gridCol w:w="1021"/>
        <w:gridCol w:w="109"/>
        <w:gridCol w:w="1111"/>
        <w:gridCol w:w="109"/>
        <w:gridCol w:w="886"/>
        <w:gridCol w:w="109"/>
        <w:gridCol w:w="901"/>
        <w:gridCol w:w="109"/>
        <w:gridCol w:w="841"/>
        <w:gridCol w:w="109"/>
        <w:gridCol w:w="886"/>
        <w:gridCol w:w="109"/>
        <w:gridCol w:w="1021"/>
        <w:gridCol w:w="109"/>
        <w:gridCol w:w="88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17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316" w:type="dxa"/>
            <w:gridSpan w:val="1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Quantitative Information about Level 3 Fair Value Measurements</w:t>
            </w:r>
          </w:p>
        </w:tc>
      </w:tr>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r>
      <w:tr>
        <w:trPr/>
        <w:tc>
          <w:tcPr>
            <w:tcW w:w="17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50"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Valuation</w:t>
            </w:r>
          </w:p>
          <w:p>
            <w:pPr>
              <w:pStyle w:val="TableContents"/>
              <w:bidi w:val="0"/>
              <w:spacing w:lineRule="atLeast" w:line="150"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Techniques</w:t>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top w:w="0" w:type="dxa"/>
              <w:left w:w="0" w:type="dxa"/>
              <w:right w:w="0" w:type="dxa"/>
            </w:tcMar>
            <w:vAlign w:val="center"/>
          </w:tcPr>
          <w:p>
            <w:pPr>
              <w:pStyle w:val="TableContents"/>
              <w:bidi w:val="0"/>
              <w:spacing w:lineRule="atLeast" w:line="150"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 xml:space="preserve">Unobservable </w:t>
            </w:r>
          </w:p>
          <w:p>
            <w:pPr>
              <w:pStyle w:val="TableContents"/>
              <w:bidi w:val="0"/>
              <w:spacing w:lineRule="atLeast" w:line="150" w:before="0" w:after="0"/>
              <w:jc w:val="left"/>
              <w:rPr>
                <w:rFonts w:ascii="Times New Roman;serif" w:hAnsi="Times New Roman;serif"/>
                <w:b/>
                <w:i w:val="false"/>
                <w:caps w:val="false"/>
                <w:smallCaps w:val="false"/>
                <w:strike w:val="false"/>
                <w:dstrike w:val="false"/>
                <w:color w:val="000000"/>
                <w:sz w:val="15"/>
                <w:u w:val="none"/>
                <w:effect w:val="none"/>
              </w:rPr>
            </w:pPr>
            <w:r>
              <w:rPr>
                <w:rFonts w:ascii="Times New Roman;serif" w:hAnsi="Times New Roman;serif"/>
                <w:b/>
                <w:i w:val="false"/>
                <w:caps w:val="false"/>
                <w:smallCaps w:val="false"/>
                <w:strike w:val="false"/>
                <w:dstrike w:val="false"/>
                <w:color w:val="000000"/>
                <w:sz w:val="15"/>
                <w:u w:val="none"/>
                <w:effect w:val="none"/>
              </w:rPr>
              <w:t>Input</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Weighted </w:t>
            </w:r>
          </w:p>
          <w:p>
            <w:pPr>
              <w:pStyle w:val="TableContents"/>
              <w:bidi w:val="0"/>
              <w:spacing w:lineRule="atLeast" w:line="160" w:before="0" w:after="0"/>
              <w:jc w:val="left"/>
              <w:rPr/>
            </w:pPr>
            <w:r>
              <w:rPr>
                <w:rFonts w:ascii="Times New Roman;serif" w:hAnsi="Times New Roman;serif"/>
                <w:b/>
                <w:i w:val="false"/>
                <w:caps w:val="false"/>
                <w:smallCaps w:val="false"/>
                <w:sz w:val="16"/>
              </w:rPr>
              <w:t>Average</w:t>
            </w:r>
            <w:r>
              <w:rPr>
                <w:rFonts w:ascii="Times New Roman;serif" w:hAnsi="Times New Roman;serif"/>
                <w:b/>
                <w:i w:val="false"/>
                <w:caps w:val="false"/>
                <w:smallCaps w:val="false"/>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Range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Weighted </w:t>
            </w:r>
          </w:p>
          <w:p>
            <w:pPr>
              <w:pStyle w:val="TableContents"/>
              <w:bidi w:val="0"/>
              <w:spacing w:lineRule="atLeast" w:line="160" w:before="0" w:after="0"/>
              <w:jc w:val="left"/>
              <w:rPr/>
            </w:pPr>
            <w:r>
              <w:rPr>
                <w:rFonts w:ascii="Times New Roman;serif" w:hAnsi="Times New Roman;serif"/>
                <w:b/>
                <w:i w:val="false"/>
                <w:caps w:val="false"/>
                <w:smallCaps w:val="false"/>
                <w:sz w:val="16"/>
              </w:rPr>
              <w:t>Average</w:t>
            </w:r>
            <w:r>
              <w:rPr>
                <w:rFonts w:ascii="Times New Roman;serif" w:hAnsi="Times New Roman;serif"/>
                <w:b/>
                <w:i w:val="false"/>
                <w:caps w:val="false"/>
                <w:smallCaps w:val="false"/>
                <w:sz w:val="10"/>
              </w:rPr>
              <w:t>(1)</w:t>
            </w:r>
          </w:p>
        </w:tc>
      </w:tr>
      <w:tr>
        <w:trPr/>
        <w:tc>
          <w:tcPr>
            <w:tcW w:w="17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Contingent payment </w:t>
            </w:r>
          </w:p>
          <w:p>
            <w:pPr>
              <w:pStyle w:val="TableContents"/>
              <w:bidi w:val="0"/>
              <w:spacing w:lineRule="atLeast" w:line="185" w:before="0" w:after="0"/>
              <w:jc w:val="left"/>
              <w:rPr/>
            </w:pPr>
            <w:r>
              <w:rPr>
                <w:rFonts w:ascii="Times New Roman;serif" w:hAnsi="Times New Roman;serif"/>
                <w:b w:val="false"/>
                <w:i w:val="false"/>
                <w:caps w:val="false"/>
                <w:smallCaps w:val="false"/>
                <w:strike w:val="false"/>
                <w:dstrike w:val="false"/>
                <w:color w:val="000000"/>
                <w:sz w:val="16"/>
                <w:u w:val="none"/>
                <w:effect w:val="none"/>
              </w:rPr>
              <w:t>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Monte Carlo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simulation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13%</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r>
      <w:tr>
        <w:trPr/>
        <w:tc>
          <w:tcPr>
            <w:tcW w:w="17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Affiliate equity </w:t>
            </w:r>
          </w:p>
          <w:p>
            <w:pPr>
              <w:pStyle w:val="TableContents"/>
              <w:bidi w:val="0"/>
              <w:spacing w:lineRule="atLeast" w:line="160" w:before="0" w:after="0"/>
              <w:jc w:val="left"/>
              <w:rPr/>
            </w:pPr>
            <w:r>
              <w:rPr>
                <w:rFonts w:ascii="Times New Roman;serif" w:hAnsi="Times New Roman;serif"/>
                <w:b w:val="false"/>
                <w:i w:val="false"/>
                <w:caps w:val="false"/>
                <w:smallCaps w:val="false"/>
                <w:strike w:val="false"/>
                <w:dstrike w:val="false"/>
                <w:color w:val="000000"/>
                <w:sz w:val="16"/>
                <w:u w:val="none"/>
                <w:effect w:val="none"/>
              </w:rPr>
              <w:t>purchase obligations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Discounted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cash flow</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pPr>
            <w:r>
              <w:rPr>
                <w:rFonts w:ascii="Times New Roman;serif" w:hAnsi="Times New Roman;serif"/>
                <w:b w:val="false"/>
                <w:i w:val="false"/>
                <w:caps w:val="false"/>
                <w:smallCaps w:val="false"/>
                <w:sz w:val="16"/>
              </w:rPr>
              <w:t>Growth rates</w:t>
            </w:r>
            <w:r>
              <w:rPr>
                <w:rFonts w:ascii="Times New Roman;serif" w:hAnsi="Times New Roman;serif"/>
                <w:b w:val="false"/>
                <w:i w:val="false"/>
                <w:caps w:val="false"/>
                <w:smallCaps w:val="false"/>
                <w:sz w:val="10"/>
              </w:rPr>
              <w:t>(2)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(4)%</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(10)%</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3%</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12%</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11%</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14%</w:t>
            </w:r>
          </w:p>
        </w:tc>
      </w:tr>
      <w:tr>
        <w:trPr/>
        <w:tc>
          <w:tcPr>
            <w:tcW w:w="174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 xml:space="preserve">Monte Carlo </w:t>
            </w:r>
          </w:p>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simulation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Volatility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160" w:before="0" w:after="0"/>
              <w:jc w:val="left"/>
              <w:rPr>
                <w:sz w:val="24"/>
              </w:rPr>
            </w:pPr>
            <w:r>
              <w:rPr>
                <w:rFonts w:ascii="Times New Roman;serif" w:hAnsi="Times New Roman;serif"/>
                <w:b w:val="false"/>
                <w:i w:val="false"/>
                <w:caps w:val="false"/>
                <w:smallCaps w:val="false"/>
                <w:strike w:val="false"/>
                <w:dstrike w:val="false"/>
                <w:sz w:val="16"/>
                <w:u w:val="none"/>
                <w:effect w:val="none"/>
              </w:rPr>
              <w:t>10%</w:t>
            </w:r>
            <w:r>
              <w:rPr>
                <w:caps w:val="false"/>
                <w:smallCaps w:val="false"/>
                <w:sz w:val="24"/>
              </w:rPr>
              <w:t xml:space="preserve"> </w:t>
            </w:r>
            <w:r>
              <w:rPr>
                <w:rFonts w:ascii="Times New Roman;serif" w:hAnsi="Times New Roman;serif"/>
                <w:b w:val="false"/>
                <w:i w:val="false"/>
                <w:caps w:val="false"/>
                <w:smallCaps w:val="false"/>
                <w:sz w:val="16"/>
              </w:rPr>
              <w:t xml:space="preserve">- </w:t>
            </w:r>
            <w:r>
              <w:rPr>
                <w:rFonts w:ascii="Times New Roman;serif" w:hAnsi="Times New Roman;serif"/>
                <w:b w:val="false"/>
                <w:i w:val="false"/>
                <w:caps w:val="false"/>
                <w:smallCaps w:val="false"/>
                <w:strike w:val="false"/>
                <w:dstrike w:val="false"/>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15%</w:t>
            </w:r>
          </w:p>
        </w:tc>
      </w:tr>
      <w:tr>
        <w:trPr/>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Discount rates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160" w:before="0" w:after="0"/>
              <w:jc w:val="left"/>
              <w:rPr>
                <w:rFonts w:ascii="Times New Roman;serif" w:hAnsi="Times New Roman;serif"/>
                <w:b w:val="false"/>
                <w:i w:val="false"/>
                <w:caps w:val="false"/>
                <w:smallCaps w:val="false"/>
                <w:strike w:val="false"/>
                <w:dstrike w:val="false"/>
                <w:color w:val="000000"/>
                <w:sz w:val="16"/>
                <w:u w:val="none"/>
                <w:effect w:val="none"/>
              </w:rPr>
            </w:pPr>
            <w:r>
              <w:rPr>
                <w:rFonts w:ascii="Times New Roman;serif" w:hAnsi="Times New Roman;serif"/>
                <w:b w:val="false"/>
                <w:i w:val="false"/>
                <w:caps w:val="false"/>
                <w:smallCaps w:val="false"/>
                <w:strike w:val="false"/>
                <w:dstrike w:val="false"/>
                <w:color w:val="000000"/>
                <w:sz w:val="16"/>
                <w:u w:val="none"/>
                <w:effect w:val="none"/>
              </w:rPr>
              <w:t>5%</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Calculated by comparing the relative fair value of an obligation to its respective total.</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Represents growth rates of asset- and performance-based fees.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payment obligations represent the fair value of the expected future settlement amounts related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investments in its consolidated Affiliates.  Changes to assumed volatility and discount rates change the fair value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contingent payment obligations.  Increases to the volatility rates used would result in higher fair values, while increases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discount rates used would result in lower fair values.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purchase obligations include agreements to purchase Affiliate equity and represent the fair value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expected future settlement amounts.  When using a discounted cash flow valuation technique, increases to the assumed growth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rates used would result in higher fair values, while increases to the discount rates used would result in lower fair values.  When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using a Monte Carlo valuation technique, changes to assumed volatility and discount rates change the fair value of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equity purchase obligations.  Increases to the volatility rates used would result in higher fair values, while increases to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discount rates used would result in lower fair values.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there were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changes to valuation inputs that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had a significant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impact to Affiliate equity purchase obligations recorded in prior periods.  </w:t>
      </w:r>
    </w:p>
    <w:p>
      <w:pPr>
        <w:pStyle w:val="TextBody"/>
        <w:bidi w:val="0"/>
        <w:spacing w:lineRule="atLeast" w:line="200" w:before="0" w:after="0"/>
        <w:jc w:val="left"/>
        <w:rPr>
          <w:sz w:val="24"/>
        </w:rPr>
      </w:pPr>
      <w:r>
        <w:rPr>
          <w:rFonts w:ascii="Times New Roman;serif" w:hAnsi="Times New Roman;serif"/>
          <w:b w:val="false"/>
          <w:i/>
          <w:sz w:val="20"/>
          <w:u w:val="single"/>
        </w:rPr>
        <w:t>Other Financial Assets and Liabilities Not Carried at Fair Value</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Company’s other financial liabilities not carried at fair value:</w:t>
      </w:r>
    </w:p>
    <w:tbl>
      <w:tblPr>
        <w:tblW w:w="9371" w:type="dxa"/>
        <w:jc w:val="left"/>
        <w:tblInd w:w="0" w:type="dxa"/>
        <w:tblLayout w:type="fixed"/>
        <w:tblCellMar>
          <w:top w:w="28" w:type="dxa"/>
          <w:left w:w="28" w:type="dxa"/>
          <w:bottom w:w="28" w:type="dxa"/>
          <w:right w:w="28" w:type="dxa"/>
        </w:tblCellMar>
      </w:tblPr>
      <w:tblGrid>
        <w:gridCol w:w="3586"/>
        <w:gridCol w:w="109"/>
        <w:gridCol w:w="1246"/>
        <w:gridCol w:w="109"/>
        <w:gridCol w:w="886"/>
        <w:gridCol w:w="109"/>
        <w:gridCol w:w="1246"/>
        <w:gridCol w:w="109"/>
        <w:gridCol w:w="886"/>
        <w:gridCol w:w="109"/>
        <w:gridCol w:w="976"/>
      </w:tblGrid>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24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241"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 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Fair Value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Hierarchy</w:t>
            </w:r>
          </w:p>
        </w:tc>
      </w:tr>
      <w:tr>
        <w:trPr/>
        <w:tc>
          <w:tcPr>
            <w:tcW w:w="35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Senior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$1,171.0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2</w:t>
            </w:r>
          </w:p>
        </w:tc>
      </w:tr>
      <w:tr>
        <w:trPr/>
        <w:tc>
          <w:tcPr>
            <w:tcW w:w="35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Junior subordinated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1,216.1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Level 2</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carrying amount of Cash and cash equivalents, Receivables, Payables and accrued liabilities, and certain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liabilities approximates fair value because of the short-term nature of these instruments.  The carrying value of the revolver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approximates fair value because the revolver has variable interest based on selected short-term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4.</w:t>
      </w:r>
      <w:r>
        <w:rPr>
          <w:rFonts w:ascii="Times New Roman;serif" w:hAnsi="Times New Roman;serif"/>
          <w:b/>
          <w:i w:val="false"/>
          <w:caps w:val="false"/>
          <w:smallCaps w:val="false"/>
          <w:strike w:val="false"/>
          <w:dstrike w:val="false"/>
          <w:sz w:val="20"/>
          <w:u w:val="none"/>
          <w:effect w:val="none"/>
        </w:rPr>
        <w:t>Investments in Affiliates and Affiliate Sponsored Investment Products</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Investments in Affiliates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Affiliates are consolidated or accounted for under the equity method, depending upon the underlying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structure of and relationship with each Affiliate.  Substantially all of the Company’s consolidated Affiliates are VIEs.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Affiliates accounted for under the equity method considered VIEs generally require minimal levels of working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capital on each Affiliate’s balance sheet.  Certain of the Company’s Affiliates accounted for under the equity method hold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general partner and seed investments, which may be significant.  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Company’s carrying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and maximum exposure to loss attributable to its Affiliates accounted for under the equity method considered VIEs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$2,135.2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$2,763.6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carrying value and maximum exposure to loss for all of the Company’s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accounted for under the equity method was $2,246.6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$2,870.4 million, respectively, including Affiliates accounted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under the equity method considered VREs of $111.4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$106.8 million, respectively.</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Affiliate Sponsored Investment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carrying value and maximum exposure to loss from unconsolidated Affiliate sponsored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is its or its consolidated Affiliates’ interests in the unconsolidated net assets of the respective products.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products vary in size from early-stage products with few initial investors to mature products with a large population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investors.  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Company’s carrying value and maximum exposure to loss attributable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Affiliate sponsored investment products, which are unconsolidated VIEs, was $28.0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$88.9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5.</w:t>
      </w:r>
      <w:r>
        <w:rPr>
          <w:rFonts w:ascii="Times New Roman;serif" w:hAnsi="Times New Roman;serif"/>
          <w:b/>
          <w:i w:val="false"/>
          <w:caps w:val="false"/>
          <w:smallCaps w:val="false"/>
          <w:strike w:val="false"/>
          <w:dstrike w:val="false"/>
          <w:sz w:val="20"/>
          <w:u w:val="none"/>
          <w:effect w:val="none"/>
        </w:rPr>
        <w:t xml:space="preserve">Debt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Company’s Debt:</w:t>
      </w:r>
    </w:p>
    <w:tbl>
      <w:tblPr>
        <w:tblW w:w="9011" w:type="dxa"/>
        <w:jc w:val="left"/>
        <w:tblInd w:w="0" w:type="dxa"/>
        <w:tblLayout w:type="fixed"/>
        <w:tblCellMar>
          <w:top w:w="28" w:type="dxa"/>
          <w:left w:w="28" w:type="dxa"/>
          <w:bottom w:w="28" w:type="dxa"/>
          <w:right w:w="28" w:type="dxa"/>
        </w:tblCellMar>
      </w:tblPr>
      <w:tblGrid>
        <w:gridCol w:w="7096"/>
        <w:gridCol w:w="109"/>
        <w:gridCol w:w="826"/>
        <w:gridCol w:w="109"/>
        <w:gridCol w:w="871"/>
      </w:tblGrid>
      <w:tr>
        <w:trPr/>
        <w:tc>
          <w:tcPr>
            <w:tcW w:w="7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0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Senior bank 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709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Senior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1,163.8</w:t>
            </w:r>
          </w:p>
        </w:tc>
      </w:tr>
      <w:tr>
        <w:trPr/>
        <w:tc>
          <w:tcPr>
            <w:tcW w:w="70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Junior subordinated notes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1,189.3</w:t>
            </w:r>
          </w:p>
        </w:tc>
      </w:tr>
      <w:tr>
        <w:trPr/>
        <w:tc>
          <w:tcPr>
            <w:tcW w:w="709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Junior convertible securities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338.2</w:t>
            </w:r>
          </w:p>
        </w:tc>
      </w:tr>
      <w:tr>
        <w:trPr/>
        <w:tc>
          <w:tcPr>
            <w:tcW w:w="709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Debt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$2,691.3</w:t>
            </w:r>
          </w:p>
        </w:tc>
      </w:tr>
    </w:tbl>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Senior Bank Debt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the Company had a $1.25 billion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revolver which matures on November 15, 2029.  Subject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conditions, the Company may increase the commitments under the revolver by up to an additional $500.0 million.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pays interest on any outstanding obligations under the revolver at a specified rate, currently based either on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applicable term-SOFR plus a SOFR adjustment of 0.10%, or prime rate, plus a marginal rate determined based on its credit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rating.  Prior to the repayment of the Company’s senior unsecured term loan facility in the third quarter of 2024, the interest rate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its outstanding borrowings was term-SOFR plus a SOFR adjustment of 0.10%, plus the marginal rate of 0.85%.</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revolver contains financial covenants with respect to leverage and interest coverage, as well as customary affirmative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negative covenants, including limitations on priority indebtedness, asset dispositions, and fundamental corporate changes,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certain customary events of default.</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the Company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outstanding borrowings under the revolver.  The Company pays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commitment fees on the unused portion of its revolver.  For the years ended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these fees amounted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$1.3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$1.2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the date of this Annual Report on Form 10-K,</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Company had outstanding borrowings of $475.0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under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revolver.</w:t>
      </w:r>
    </w:p>
    <w:p>
      <w:pPr>
        <w:pStyle w:val="TextBody"/>
        <w:bidi w:val="0"/>
        <w:spacing w:lineRule="atLeast" w:line="200" w:before="0" w:after="0"/>
        <w:jc w:val="left"/>
        <w:rPr>
          <w:sz w:val="24"/>
        </w:rPr>
      </w:pPr>
      <w:r>
        <w:rPr>
          <w:rFonts w:ascii="Times New Roman;serif" w:hAnsi="Times New Roman;serif"/>
          <w:b w:val="false"/>
          <w:i/>
          <w:sz w:val="20"/>
          <w:u w:val="single"/>
        </w:rPr>
        <w:t>Senior Notes</w:t>
      </w:r>
      <w:r>
        <w:rPr>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third quarter of 2025, the Company’s $350.0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3.50%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senior notes matured and were fully repaid.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had senior notes outstanding, the respective principal terms and effective interest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rates of which are presented and described</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below:</w:t>
      </w:r>
    </w:p>
    <w:tbl>
      <w:tblPr>
        <w:tblW w:w="9421" w:type="dxa"/>
        <w:jc w:val="left"/>
        <w:tblInd w:w="0" w:type="dxa"/>
        <w:tblLayout w:type="fixed"/>
        <w:tblCellMar>
          <w:top w:w="28" w:type="dxa"/>
          <w:left w:w="28" w:type="dxa"/>
          <w:bottom w:w="28" w:type="dxa"/>
          <w:right w:w="28" w:type="dxa"/>
        </w:tblCellMar>
      </w:tblPr>
      <w:tblGrid>
        <w:gridCol w:w="5086"/>
        <w:gridCol w:w="109"/>
        <w:gridCol w:w="1291"/>
        <w:gridCol w:w="109"/>
        <w:gridCol w:w="1291"/>
        <w:gridCol w:w="109"/>
        <w:gridCol w:w="1426"/>
      </w:tblGrid>
      <w:tr>
        <w:trPr/>
        <w:tc>
          <w:tcPr>
            <w:tcW w:w="5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50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2030</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2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2034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Senior Notes</w:t>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2036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Senior Notes</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December 2025</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June 2030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August 2034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2036</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Par value (in millions)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$425.0</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5.50%</w:t>
            </w:r>
          </w:p>
        </w:tc>
      </w:tr>
      <w:tr>
        <w:trPr/>
        <w:tc>
          <w:tcPr>
            <w:tcW w:w="50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4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Semi-annually</w:t>
            </w:r>
          </w:p>
        </w:tc>
      </w:tr>
      <w:tr>
        <w:trPr/>
        <w:tc>
          <w:tcPr>
            <w:tcW w:w="50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Effective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December 11, 2025, the Company issued $425.0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aggregate principal amount of senior unsecured notes with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maturity date of February 15, 2036 (the “2036 senior notes”).  Interest is payable beginning August 15, 2026.</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addition to customary event of default provisions, the indenture governing the senior notes, including the applicable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supplemental indentures with respect to the 2030, 2034, and 2036 senior notes, limits the Company’s ability to consolidate,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merge, or sell all or substantially all of its assets, and requires the Company to make an offer to repurchase the applicable senior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notes at 101%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plus any accrued and unpaid interest thereon to, but not including, the date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repurchase, upon certain change of control triggering events.  The senior notes may be redeemed, in whole or in part, at a make-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whole redemption price (plus accrued and unpaid interest), at any time prior to March 15, 2030, in the case of the 2030 senior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notes, at any time prior to May 20, 2034, in the case of the 2034 senior notes, and at any time prior to November 15, 2035,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case of the 2036 senior notes.  The make-whole redemption price, in each case, is equal to the greater of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principal amount of the notes to be redeemed and the remaining principal and interest payments on the notes being redeemed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(excluding accrued but unpaid interest to, but not including, the redemption date) discounted to their present value as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redemption date on a semi-annual basis at the applicable Treasury rate plus 0.40%, in the case of the 2030 senior notes,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plus 0.25%, in the case of the 2034 and 2036 senior notes.  In addition, the 2030, 2034, and 2036 senior notes may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redeemed, in whole or in part, at any time, on or after March 15, 2030, May 20, 2034, and November 15, 2035, respectively, at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redemption price equal to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of the notes to be redeemed plus accrued and unpaid interest thereon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but not including, the redemption date.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Junior Subordinated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had junior subordinated notes outstanding, the respective principal terms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effective interest rates of which are presented and described below:  </w:t>
      </w:r>
    </w:p>
    <w:tbl>
      <w:tblPr>
        <w:tblW w:w="10205" w:type="dxa"/>
        <w:jc w:val="left"/>
        <w:tblInd w:w="0" w:type="dxa"/>
        <w:tblLayout w:type="fixed"/>
        <w:tblCellMar>
          <w:top w:w="28" w:type="dxa"/>
          <w:left w:w="28" w:type="dxa"/>
          <w:bottom w:w="28" w:type="dxa"/>
          <w:right w:w="28" w:type="dxa"/>
        </w:tblCellMar>
      </w:tblPr>
      <w:tblGrid>
        <w:gridCol w:w="3329"/>
        <w:gridCol w:w="109"/>
        <w:gridCol w:w="1598"/>
        <w:gridCol w:w="109"/>
        <w:gridCol w:w="1598"/>
        <w:gridCol w:w="109"/>
        <w:gridCol w:w="1598"/>
        <w:gridCol w:w="109"/>
        <w:gridCol w:w="1646"/>
      </w:tblGrid>
      <w:tr>
        <w:trPr/>
        <w:tc>
          <w:tcPr>
            <w:tcW w:w="3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2059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2060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598"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2061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c>
          <w:tcPr>
            <w:tcW w:w="109" w:type="dxa"/>
            <w:tcBorders/>
            <w:vAlign w:val="center"/>
          </w:tcPr>
          <w:p>
            <w:pPr>
              <w:pStyle w:val="TableContents"/>
              <w:bidi w:val="0"/>
              <w:spacing w:before="0" w:after="283"/>
              <w:jc w:val="left"/>
              <w:rPr>
                <w:sz w:val="4"/>
                <w:szCs w:val="4"/>
              </w:rPr>
            </w:pPr>
            <w:r>
              <w:rPr>
                <w:sz w:val="4"/>
                <w:szCs w:val="4"/>
              </w:rPr>
            </w:r>
          </w:p>
        </w:tc>
        <w:tc>
          <w:tcPr>
            <w:tcW w:w="16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2064</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Junior Subordinated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Notes</w:t>
            </w:r>
          </w:p>
        </w:tc>
      </w:tr>
      <w:tr>
        <w:trPr/>
        <w:tc>
          <w:tcPr>
            <w:tcW w:w="3329"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Issue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July 2021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2024</w:t>
            </w:r>
          </w:p>
        </w:tc>
      </w:tr>
      <w:tr>
        <w:trPr/>
        <w:tc>
          <w:tcPr>
            <w:tcW w:w="3329"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Maturity date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2059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September 2061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March 2064</w:t>
            </w:r>
          </w:p>
        </w:tc>
      </w:tr>
      <w:tr>
        <w:trPr/>
        <w:tc>
          <w:tcPr>
            <w:tcW w:w="3329"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Par value (in millions)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$450.0</w:t>
            </w:r>
          </w:p>
        </w:tc>
      </w:tr>
      <w:tr>
        <w:trPr/>
        <w:tc>
          <w:tcPr>
            <w:tcW w:w="3329"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Stated coupon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6.75%</w:t>
            </w:r>
          </w:p>
        </w:tc>
      </w:tr>
      <w:tr>
        <w:trPr/>
        <w:tc>
          <w:tcPr>
            <w:tcW w:w="3329"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Coupon frequency</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Quarterly</w:t>
            </w:r>
          </w:p>
        </w:tc>
      </w:tr>
      <w:tr>
        <w:trPr/>
        <w:tc>
          <w:tcPr>
            <w:tcW w:w="3329"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NYSE Symbol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MGRB</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98"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MGRE</w:t>
            </w:r>
          </w:p>
        </w:tc>
      </w:tr>
      <w:tr>
        <w:trPr/>
        <w:tc>
          <w:tcPr>
            <w:tcW w:w="3329"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Effective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598"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6.76%</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each of the 2059 and 2060 junior subordinated notes could be redeemed at any time, in whole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part.  The other junior subordinated notes may be redeemed at any time, in whole or in part, on or after September 30, 2026,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case of the 2061 junior subordinated notes, and on or after March 30, 2029, in the case of the 2064 junior subordinated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notes.  In each case, the junior subordinated notes may be redeemed at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of the notes being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redeemed, plus any accrued and unpaid interest thereon.  Prior to the applicable redemption date, at the Company’s option,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applicable junior subordinated notes may also be redeemed, in whole but not in part, at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amount, plus any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accrued and unpaid interest, if certain changes in tax laws, regulations, or interpretations occur; or at 102%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the principal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amount, plus any accrued and unpaid interest, if a rating agency makes certain changes relating to the equity credit criteria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securities with features similar to the applicable notes.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may, at its option, and subject to certain conditions and restrictions, defer interest payments subject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terms of the junior subordinated notes.</w:t>
      </w:r>
    </w:p>
    <w:p>
      <w:pPr>
        <w:pStyle w:val="TextBody"/>
        <w:bidi w:val="0"/>
        <w:spacing w:lineRule="atLeast" w:line="200" w:before="0" w:after="0"/>
        <w:jc w:val="left"/>
        <w:rPr>
          <w:sz w:val="24"/>
        </w:rPr>
      </w:pPr>
      <w:r>
        <w:rPr>
          <w:rFonts w:ascii="Times New Roman;serif" w:hAnsi="Times New Roman;serif"/>
          <w:b w:val="false"/>
          <w:i/>
          <w:sz w:val="20"/>
          <w:u w:val="single"/>
        </w:rPr>
        <w:t>Junior Convertible Securities</w:t>
      </w:r>
      <w:r>
        <w:rPr>
          <w:strike w:val="false"/>
          <w:dstrike w:val="false"/>
          <w:sz w:val="24"/>
          <w:u w:val="none"/>
          <w:effect w:val="none"/>
        </w:rPr>
        <w:t xml:space="preserve"> </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the Company had $340.6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principal outstanding on its junior convertible trust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preferred securities (the “junior convertible securities”).  Prior to their redemption by the Company, as described below,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junior convertible securities bore interest at a rate of 5.15%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annum, which interest payments were payable quarterly in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junior convertible securities were considered contingent payment debt instruments under federal income tax regulations,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which required the Company to deduct interest in an amount greater than its reported interest expense (“excess interest 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deductions”).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unamortized issuance costs related to the junior convertible securities were $2.7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$2.4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presents interest expense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recorded in connection with the junior convertible securities:</w:t>
      </w:r>
    </w:p>
    <w:tbl>
      <w:tblPr>
        <w:tblW w:w="8779" w:type="dxa"/>
        <w:jc w:val="left"/>
        <w:tblInd w:w="0" w:type="dxa"/>
        <w:tblLayout w:type="fixed"/>
        <w:tblCellMar>
          <w:top w:w="28" w:type="dxa"/>
          <w:left w:w="28" w:type="dxa"/>
          <w:bottom w:w="28" w:type="dxa"/>
          <w:right w:w="28" w:type="dxa"/>
        </w:tblCellMar>
      </w:tblPr>
      <w:tblGrid>
        <w:gridCol w:w="5986"/>
        <w:gridCol w:w="109"/>
        <w:gridCol w:w="786"/>
        <w:gridCol w:w="135"/>
        <w:gridCol w:w="786"/>
        <w:gridCol w:w="135"/>
        <w:gridCol w:w="842"/>
      </w:tblGrid>
      <w:tr>
        <w:trPr/>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9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9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Contractual interest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$16.9</w:t>
            </w:r>
          </w:p>
        </w:tc>
      </w:tr>
      <w:tr>
        <w:trPr/>
        <w:tc>
          <w:tcPr>
            <w:tcW w:w="598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Amortization of debt issuance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r>
      <w:tr>
        <w:trPr/>
        <w:tc>
          <w:tcPr>
            <w:tcW w:w="59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$17.1</w:t>
            </w:r>
          </w:p>
        </w:tc>
      </w:tr>
      <w:tr>
        <w:trPr/>
        <w:tc>
          <w:tcPr>
            <w:tcW w:w="59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786"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842" w:type="dxa"/>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8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Effective interest rate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5.21%</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7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5.21%</w:t>
            </w:r>
          </w:p>
        </w:tc>
        <w:tc>
          <w:tcPr>
            <w:tcW w:w="135" w:type="dxa"/>
            <w:tcBorders/>
            <w:shd w:fill="CCEEFF" w:val="clear"/>
            <w:vAlign w:val="center"/>
          </w:tcPr>
          <w:p>
            <w:pPr>
              <w:pStyle w:val="TableContents"/>
              <w:bidi w:val="0"/>
              <w:spacing w:before="0" w:after="283"/>
              <w:jc w:val="left"/>
              <w:rPr>
                <w:sz w:val="4"/>
                <w:szCs w:val="4"/>
              </w:rPr>
            </w:pPr>
            <w:r>
              <w:rPr>
                <w:sz w:val="4"/>
                <w:szCs w:val="4"/>
              </w:rPr>
            </w:r>
          </w:p>
        </w:tc>
        <w:tc>
          <w:tcPr>
            <w:tcW w:w="84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2025, pursuant to the terms of the junior convertible securities, the Company adjusted the conversion rate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securities to 0.2582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common stock per $50.00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junior convertible security, equivalent to an adjusted conversion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price of $193.65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per share.  The adjustment was the result of the Company’s cumulative declared dividends on its common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stock since the prior adjustment.</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December 8, 2025, the Company delivered notice that it had elected to redeem all of the outstanding junior convertible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securities on December 29, 2025 (the “Redemption Date”), and announced its intention to settle any and all conversion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obligations in cash.  Substantially all holders of the junior convertible securities delivered requests to convert their securities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prior to the Redemption Date.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December 15, 2025 (the “Election Date”), the Company made an irrevocable election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settle its conversion obligations in cash by reference to the daily volume weighted average price of the Company’s common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stock during each applicable ten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trading day conversion reference period.  These conversions resulted in a settlement value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excess of the associated carrying value (the “conversion premium”).  As of December 31, 2025, the conversion premium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$155.5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recorded within Other liabilities, with a corresponding reduction to Additional paid-in capital.  In addition,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conversion resulted in a reduction to Deferred tax liability (net) on the Consolidated Balance Sheets of $38.9 million, with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corresponding increase to Additional paid-in capital.  The Company’s election to settle each applicable conversion premium in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cash using a ten-day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reference period was accounted for as a forward sale contract, which resulted in a $9.2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recorded in Other expenses (net), in the fourth quarter of 2025.</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the Redemption Date, the Company redeemed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junior convertible securities which were not converted,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reflecting the principal amount of the redeemed securities, plus accrued and unpaid interest, up to, but not including,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Redemption Date.</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January 2026, the Company settled each of its applicable conversion obligations in cash for an aggregate amount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$514.6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which resulted in an incremental expense related to the forward sale contract of $9.3 million.  As a result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settlement of these securities, the Company expects to incur a current cash tax liability of approximately $56.0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2026,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reflective of the recapture of excess interest expense deductions.  As of the date of this Annual Report on Form 10-K, none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Company's junior convertible securities 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6.</w:t>
      </w:r>
      <w:r>
        <w:rPr>
          <w:rFonts w:ascii="Times New Roman;serif" w:hAnsi="Times New Roman;serif"/>
          <w:b/>
          <w:i w:val="false"/>
          <w:caps w:val="false"/>
          <w:smallCaps w:val="false"/>
          <w:strike w:val="false"/>
          <w:dstrike w:val="false"/>
          <w:sz w:val="20"/>
          <w:u w:val="none"/>
          <w:effect w:val="none"/>
        </w:rPr>
        <w:t>Commitments and Contingencies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the Company and its Affiliates may be subject to claims, legal proceedings, and other contingencies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ordinary course of their business activities.  Any such matters are subject to various uncertainties, and it is possible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some of these matters may be resolved in a manner unfavorable to the Company or its Affiliates.  The Company and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establish accruals, as necessary, for matters for which the outcome is probable and the amount of the liability can be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reasonably estimated.  For matters for which the outcome is probable but not reasonably estimable or where the outcome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reasonably possible but not probable, the Company provides disclosure related to such matters, as necessary.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committed to co-invest in certain Affiliate sponsored investment products.  As of December 31, 2025,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these unfunded commitments were $285.0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may be called in future periods.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was contingently liable to make payments in connection with a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which are included in Other liabilities.  The Company is contingently liable to make maximum contingent payments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up to $100.0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($24.9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attributable to a co-investor).  The fair value of contingent payment obligation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$0.0 million.  The final measurement date of the contingent payment obligation is in July 2026.</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the Company was obligated to make deferred payments of $85.8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certain of its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investments in Affiliates accounted for under the equity method, of which $56.4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payable in 2026 and $29.4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payable in 2027.  Deferred payment obligations are included in Other liabilities.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2025, the Company was contingently liable to make payments of $451.7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related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achievement of specified financial targets by certain of its Affiliates accounted for under the equity method, of which $4.0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become payable in 2026, $366.4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become payable in 2027, $35.9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may become payable in 2028,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$22.7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may become payable in each of 2029 and 2030.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provide holders at consolidated Affiliates with a conditional right to put their interests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Company over time.  See Note 14.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and certain of its consolidated Affiliates operate under regulatory authorities that require the maintenance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minimum financial or capital requirements.  The Company’s management is not aware of any significant violations of such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requirements.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7.</w:t>
      </w:r>
      <w:r>
        <w:rPr>
          <w:rFonts w:ascii="Times New Roman;serif" w:hAnsi="Times New Roman;serif"/>
          <w:b/>
          <w:i w:val="false"/>
          <w:caps w:val="false"/>
          <w:smallCaps w:val="false"/>
          <w:strike w:val="false"/>
          <w:dstrike w:val="false"/>
          <w:sz w:val="20"/>
          <w:u w:val="none"/>
          <w:effect w:val="none"/>
        </w:rPr>
        <w:t>Goodwill and Acquired Client Relationships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the changes in the Company’s Goodwill: </w:t>
      </w:r>
    </w:p>
    <w:tbl>
      <w:tblPr>
        <w:tblW w:w="9026" w:type="dxa"/>
        <w:jc w:val="left"/>
        <w:tblInd w:w="0" w:type="dxa"/>
        <w:tblLayout w:type="fixed"/>
        <w:tblCellMar>
          <w:top w:w="28" w:type="dxa"/>
          <w:left w:w="28" w:type="dxa"/>
          <w:bottom w:w="28" w:type="dxa"/>
          <w:right w:w="28" w:type="dxa"/>
        </w:tblCellMar>
      </w:tblPr>
      <w:tblGrid>
        <w:gridCol w:w="7111"/>
        <w:gridCol w:w="109"/>
        <w:gridCol w:w="826"/>
        <w:gridCol w:w="109"/>
        <w:gridCol w:w="871"/>
      </w:tblGrid>
      <w:tr>
        <w:trPr/>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Goodwill</w:t>
            </w:r>
          </w:p>
        </w:tc>
      </w:tr>
      <w:tr>
        <w:trPr/>
        <w:tc>
          <w:tcPr>
            <w:tcW w:w="711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$2,523.6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$2,504.9</w:t>
            </w:r>
          </w:p>
        </w:tc>
      </w:tr>
      <w:tr>
        <w:trPr/>
        <w:tc>
          <w:tcPr>
            <w:tcW w:w="71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w:t>
            </w:r>
          </w:p>
        </w:tc>
      </w:tr>
      <w:tr>
        <w:trPr/>
        <w:tc>
          <w:tcPr>
            <w:tcW w:w="71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$2,504.9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$2,531.2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September 30, 2025, the Company completed its annual impairment assessment on goodwill and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impairment was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indicated.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the Company’s components of Acquired client relationships (net):</w:t>
      </w:r>
    </w:p>
    <w:tbl>
      <w:tblPr>
        <w:tblW w:w="9656" w:type="dxa"/>
        <w:jc w:val="left"/>
        <w:tblInd w:w="0" w:type="dxa"/>
        <w:tblLayout w:type="fixed"/>
        <w:tblCellMar>
          <w:top w:w="28" w:type="dxa"/>
          <w:left w:w="28" w:type="dxa"/>
          <w:bottom w:w="28" w:type="dxa"/>
          <w:right w:w="28" w:type="dxa"/>
        </w:tblCellMar>
      </w:tblPr>
      <w:tblGrid>
        <w:gridCol w:w="3631"/>
        <w:gridCol w:w="109"/>
        <w:gridCol w:w="1246"/>
        <w:gridCol w:w="109"/>
        <w:gridCol w:w="1081"/>
        <w:gridCol w:w="109"/>
        <w:gridCol w:w="1081"/>
        <w:gridCol w:w="109"/>
        <w:gridCol w:w="1201"/>
        <w:gridCol w:w="109"/>
        <w:gridCol w:w="871"/>
      </w:tblGrid>
      <w:tr>
        <w:trPr/>
        <w:tc>
          <w:tcPr>
            <w:tcW w:w="3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36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5916" w:type="dxa"/>
            <w:gridSpan w:val="9"/>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Acquired Client Relationships (Net)</w:t>
            </w:r>
          </w:p>
        </w:tc>
      </w:tr>
      <w:tr>
        <w:trPr/>
        <w:tc>
          <w:tcPr>
            <w:tcW w:w="36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626" w:type="dxa"/>
            <w:gridSpan w:val="5"/>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Definite-lived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Indefinite-lived</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363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Gross 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Accumulated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Amortization</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Carrying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as of December 31, 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$1,603.1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$1,812.4</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(29.0)</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as of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$1,255.5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$1,777.8</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(160.3)</w:t>
            </w:r>
          </w:p>
        </w:tc>
      </w:tr>
      <w:tr>
        <w:trPr/>
        <w:tc>
          <w:tcPr>
            <w:tcW w:w="36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21.8</w:t>
            </w:r>
          </w:p>
        </w:tc>
      </w:tr>
      <w:tr>
        <w:trPr/>
        <w:tc>
          <w:tcPr>
            <w:tcW w:w="36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as of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$155.0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$1,639.3</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Definite-lived acquired client relationships at the Company’s consolidated Affiliates are amortized over their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 of economic benefit.  The Company recorded amortization expense in Intangible amortization and impairments for these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relationships of $48.3 million, $29.0 million, and $25.3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respectively.  Based on relationships existing as of December 31, 2025, the Company estimates that its consolidated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amortization expense will be approximately $25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shd w:fill="FFFFFF" w:val="clear"/>
        </w:rPr>
        <w:t xml:space="preserve">in each of 2026, 2027, and 2028, </w:t>
      </w:r>
      <w:r>
        <w:rPr>
          <w:rFonts w:ascii="Times New Roman;serif" w:hAnsi="Times New Roman;serif"/>
          <w:b w:val="false"/>
          <w:i w:val="false"/>
          <w:caps w:val="false"/>
          <w:smallCaps w:val="false"/>
          <w:strike w:val="false"/>
          <w:dstrike w:val="false"/>
          <w:sz w:val="20"/>
          <w:u w:val="none"/>
          <w:effect w:val="none"/>
        </w:rPr>
        <w:t>approximately $15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2029,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approximately $10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2030.  As of December 31, 2025,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impairments of definite-lived acquired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relationships were indicated.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first quarter of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Company completed an impairment assessment of the indefinite-lived acquired client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relationships for certain mutual fund assets and determined that the fair value of the assets had declined below their carrying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values.  Accordingly, the Company recorded an expense in Intangible amortization and impairments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$59.2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attributable to the controlling interest ($70.0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aggregate) to reduce the carrying value of the assets to fair value.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decline in the fair value was a result of current and projected declines in assets under management that decreased the forecasted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revenue associated with the assets.  The most relevant assumptions used in these analyses were revenue growth rates over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next five years ranging from (21)%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 long-term revenue growth rates of 0%, and discount rates of 11.0%.</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2025, the Company also recorded an expense in Intangible amortization and impairments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$4.0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attributable to the controlling interest ($7.0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aggregate) to reduce the carrying value of an indefinite-lived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acquired client relationship to zero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due to the closure of one of its Affiliate’s mutual fund products.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fourth quarter of 2025, the Company completed its annual impairment assessment of its indefinite-lived acquired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client relationships and determined that the fair value of certain mutual fund assets had declined below their carrying values.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Accordingly, the Company recorded an expense in Intangible amortization and impairments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$37.0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attributable to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controlling interest ($58.0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aggregate) to reduce the carrying value of the assets to fair value.  The decline in the fair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value was a result of current and projected declines in assets under management that decreased the forecasted revenue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associated with the assets.  The most relevant assumptions used in these analyses were revenue growth rates over the next five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years ranging from (34)%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0%, long-term revenue growth rates of 0%, and discount rates of 10.5%.</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For the year ended December 31, 2025,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other impairments were indicated for the Company’s indefinite-lived acquired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client relationships.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third quarter of 2023, the Company completed the sale of its equity interest in Veritable, LP (“Veritable”), one of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consolidated Affiliates, (the “Veritable Transaction”).  Pursuant to the terms of the agreement, under which a third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party acquired 100%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of the outstanding equity interests in Veritable, the Company received $287.4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cash, net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 costs.  Veritable is included in the Company’s results through the closing date, and the Company’s gain from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 was $133.1 million, which is recorded in Affiliate transaction gains in the Consolidated Statements of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8.</w:t>
      </w:r>
      <w:r>
        <w:rPr>
          <w:rFonts w:ascii="Times New Roman;serif" w:hAnsi="Times New Roman;serif"/>
          <w:b/>
          <w:i w:val="false"/>
          <w:caps w:val="false"/>
          <w:smallCaps w:val="false"/>
          <w:strike w:val="false"/>
          <w:dstrike w:val="false"/>
          <w:sz w:val="20"/>
          <w:u w:val="none"/>
          <w:effect w:val="none"/>
        </w:rPr>
        <w:t>Equity Method Investments</w:t>
      </w:r>
      <w:r>
        <w:rPr>
          <w:caps w:val="false"/>
          <w:smallCaps w:val="false"/>
          <w:strike w:val="false"/>
          <w:dstrike w:val="false"/>
          <w:sz w:val="24"/>
          <w:u w:val="none"/>
          <w:effect w:val="none"/>
        </w:rPr>
        <w:t xml:space="preserve"> </w:t>
      </w:r>
      <w:r>
        <w:rPr>
          <w:rFonts w:ascii="Times New Roman;serif" w:hAnsi="Times New Roman;serif"/>
          <w:b/>
          <w:i w:val="false"/>
          <w:caps w:val="false"/>
          <w:smallCaps w:val="false"/>
          <w:strike w:val="false"/>
          <w:dstrike w:val="false"/>
          <w:sz w:val="20"/>
          <w:u w:val="none"/>
          <w:effect w:val="none"/>
        </w:rPr>
        <w:t>in Affiliates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Certain of the Company’s investments in Affiliates are accounted for under the equity method.  The Company had 22</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equity method Affiliates 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majority of these Affiliates are partnerships with structured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interests that define how the Company will participate in Affiliate earnings, typically based upon a fixed percentage of the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Affiliate’s revenue less agreed-upon expenses.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partnership agreements do not define a fixed percentage for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ownership of the equity of the Affiliate.  These percentages would be subject to a separate future negotiation if an Affiliate were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to be sold or liquidated.  The financial results of certain Affiliates accounted for under the equity method are recognized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Consolidated Financial Statements one quarter in arrears.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tables present summarized financial information of the Company’s Affiliates accounted for under the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method:</w:t>
      </w:r>
    </w:p>
    <w:tbl>
      <w:tblPr>
        <w:tblW w:w="8626" w:type="dxa"/>
        <w:jc w:val="left"/>
        <w:tblInd w:w="0" w:type="dxa"/>
        <w:tblLayout w:type="fixed"/>
        <w:tblCellMar>
          <w:top w:w="28" w:type="dxa"/>
          <w:left w:w="28" w:type="dxa"/>
          <w:bottom w:w="28" w:type="dxa"/>
          <w:right w:w="28" w:type="dxa"/>
        </w:tblCellMar>
      </w:tblPr>
      <w:tblGrid>
        <w:gridCol w:w="5776"/>
        <w:gridCol w:w="109"/>
        <w:gridCol w:w="826"/>
        <w:gridCol w:w="109"/>
        <w:gridCol w:w="826"/>
        <w:gridCol w:w="109"/>
        <w:gridCol w:w="871"/>
      </w:tblGrid>
      <w:tr>
        <w:trPr/>
        <w:tc>
          <w:tcPr>
            <w:tcW w:w="5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7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Revenue</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$5,326.0</w:t>
            </w:r>
          </w:p>
        </w:tc>
      </w:tr>
      <w:tr>
        <w:trPr/>
        <w:tc>
          <w:tcPr>
            <w:tcW w:w="577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Net income</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1,313.0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1,506.4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1,971.2</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 xml:space="preserve">Revenue and net income include asset- and performance-based fees, the impact of consolidated sponsored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products, and new Affiliate investments for the full-year, regardless of the date of the Company’s investment.</w:t>
      </w:r>
    </w:p>
    <w:tbl>
      <w:tblPr>
        <w:tblW w:w="9191" w:type="dxa"/>
        <w:jc w:val="left"/>
        <w:tblInd w:w="0" w:type="dxa"/>
        <w:tblLayout w:type="fixed"/>
        <w:tblCellMar>
          <w:top w:w="28" w:type="dxa"/>
          <w:left w:w="28" w:type="dxa"/>
          <w:bottom w:w="28" w:type="dxa"/>
          <w:right w:w="28" w:type="dxa"/>
        </w:tblCellMar>
      </w:tblPr>
      <w:tblGrid>
        <w:gridCol w:w="7276"/>
        <w:gridCol w:w="109"/>
        <w:gridCol w:w="826"/>
        <w:gridCol w:w="109"/>
        <w:gridCol w:w="871"/>
      </w:tblGrid>
      <w:tr>
        <w:trPr/>
        <w:tc>
          <w:tcPr>
            <w:tcW w:w="7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72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8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2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2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$3,348.2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$4,539.9</w:t>
            </w:r>
          </w:p>
        </w:tc>
      </w:tr>
      <w:tr>
        <w:trPr/>
        <w:tc>
          <w:tcPr>
            <w:tcW w:w="727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Liabilities and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1,262.9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2,114.1</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Equity method investments in Affiliates (net):</w:t>
      </w:r>
    </w:p>
    <w:tbl>
      <w:tblPr>
        <w:tblW w:w="9695" w:type="dxa"/>
        <w:jc w:val="left"/>
        <w:tblInd w:w="0" w:type="dxa"/>
        <w:tblLayout w:type="fixed"/>
        <w:tblCellMar>
          <w:top w:w="28" w:type="dxa"/>
          <w:left w:w="28" w:type="dxa"/>
          <w:bottom w:w="28" w:type="dxa"/>
          <w:right w:w="28" w:type="dxa"/>
        </w:tblCellMar>
      </w:tblPr>
      <w:tblGrid>
        <w:gridCol w:w="7231"/>
        <w:gridCol w:w="109"/>
        <w:gridCol w:w="1077"/>
        <w:gridCol w:w="142"/>
        <w:gridCol w:w="1136"/>
      </w:tblGrid>
      <w:tr>
        <w:trPr/>
        <w:tc>
          <w:tcPr>
            <w:tcW w:w="7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r>
      <w:tr>
        <w:trPr/>
        <w:tc>
          <w:tcPr>
            <w:tcW w:w="7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Equity Method Investments in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Affiliates (Net)</w:t>
            </w:r>
          </w:p>
        </w:tc>
      </w:tr>
      <w:tr>
        <w:trPr/>
        <w:tc>
          <w:tcPr>
            <w:tcW w:w="7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4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Balance, beginning of period</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$2,288.5</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$2,246.6</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Investments in Affiliates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857.6</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Affiliate transactions</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(187.5)</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Earnings,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442.7</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561.0</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Intangible amortization and impairments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(130.0)</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(98.1)</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Distributions of earnings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(402.7)</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(465.9)</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Return of capital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34.5</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w:t>
            </w:r>
          </w:p>
        </w:tc>
      </w:tr>
      <w:tr>
        <w:trPr/>
        <w:tc>
          <w:tcPr>
            <w:tcW w:w="723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w:t>
            </w:r>
            <w:r>
              <w:rPr>
                <w:rFonts w:ascii="Times New Roman;serif" w:hAnsi="Times New Roman;serif"/>
                <w:b w:val="false"/>
                <w:i w:val="false"/>
                <w:caps w:val="false"/>
                <w:smallCaps w:val="false"/>
                <w:strike w:val="false"/>
                <w:dstrike w:val="false"/>
                <w:sz w:val="10"/>
                <w:u w:val="none"/>
                <w:effect w:val="none"/>
              </w:rPr>
              <w:t>(3)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7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2" w:type="dxa"/>
            <w:tcBorders/>
            <w:shd w:fill="CCEEFF" w:val="clear"/>
            <w:vAlign w:val="center"/>
          </w:tcPr>
          <w:p>
            <w:pPr>
              <w:pStyle w:val="TableContents"/>
              <w:bidi w:val="0"/>
              <w:spacing w:before="0" w:after="283"/>
              <w:jc w:val="left"/>
              <w:rPr>
                <w:sz w:val="4"/>
                <w:szCs w:val="4"/>
              </w:rPr>
            </w:pPr>
            <w:r>
              <w:rPr>
                <w:sz w:val="4"/>
                <w:szCs w:val="4"/>
              </w:rPr>
            </w:r>
          </w:p>
        </w:tc>
        <w:tc>
          <w:tcPr>
            <w:tcW w:w="11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(53.4)</w:t>
            </w:r>
          </w:p>
        </w:tc>
      </w:tr>
      <w:tr>
        <w:trPr/>
        <w:tc>
          <w:tcPr>
            <w:tcW w:w="723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Balance, end of period</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7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$2,246.6</w:t>
            </w:r>
          </w:p>
        </w:tc>
        <w:tc>
          <w:tcPr>
            <w:tcW w:w="142" w:type="dxa"/>
            <w:tcBorders/>
            <w:shd w:fill="FFFFFF" w:val="clear"/>
            <w:vAlign w:val="center"/>
          </w:tcPr>
          <w:p>
            <w:pPr>
              <w:pStyle w:val="TableContents"/>
              <w:bidi w:val="0"/>
              <w:spacing w:before="0" w:after="283"/>
              <w:jc w:val="left"/>
              <w:rPr>
                <w:sz w:val="4"/>
                <w:szCs w:val="4"/>
              </w:rPr>
            </w:pPr>
            <w:r>
              <w:rPr>
                <w:sz w:val="4"/>
                <w:szCs w:val="4"/>
              </w:rPr>
            </w:r>
          </w:p>
        </w:tc>
        <w:tc>
          <w:tcPr>
            <w:tcW w:w="11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$2,870.4</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Includes undistributed earnings of $168.0 million, $206.1 million, and $280.4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of December 31, 2023, 2024,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2025, respectively.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Represents the Company’s equity method investments in Peppertree, Comvest’s private credit business,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Montrusco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Bolton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their respective closing dates.</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(3)</w:t>
      </w:r>
      <w:r>
        <w:rPr>
          <w:rFonts w:ascii="Times New Roman;serif" w:hAnsi="Times New Roman;serif"/>
          <w:b w:val="false"/>
          <w:i w:val="false"/>
          <w:caps w:val="false"/>
          <w:smallCaps w:val="false"/>
          <w:strike w:val="false"/>
          <w:dstrike w:val="false"/>
          <w:sz w:val="20"/>
          <w:u w:val="none"/>
          <w:effect w:val="none"/>
        </w:rPr>
        <w:t>For the year ended December 31, 2025, Other includes the transfer of $53.4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interests to Investments associated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with the Comvest Transaction.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2025, the Company completed its minority investment in NorthBridge Partners, LLC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(“NorthBridge”), a private markets manager specializing in industrial logistics real estate assets, and in the second quarter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2025, the Company completed its minority investment in Verition Fund Management LLC (“Verition”), a global multi-strategy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firm.  In the fourth quarter of 2025, the Company completed its minority investments in Montefiore Investment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(“Montefiore”), a European private equity firm focused on the services sector, and Qualitas Energy, a renewables-focused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global infrastructure manager specializing in energy transition.  A portion of the consideration paid for NorthBridge and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majority of the consideration paid for Verition will be deductible for U.S. tax purposes over a 15-year life.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 price allocations for each investment were measured using discounted cash flow analyses that included assumptions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expected market performance, net client cash flows, and discount rates.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third quarter of 2025, the Company completed the sale of its minority equity interest in Peppertree Capital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Management, Inc. (“Peppertree”), as part of the announced acquisition of Peppertree by TPG Inc. (“TPG”), a public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company listed on the Nasdaq Global Select Market.  Pursuant to the terms of 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agreement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with TPG, under which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and each of the other owners agreed to sell their respective equity interests in Peppertree, the Company received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total consideration of $253.2 million, net of transaction costs, which included $99.8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cash and 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TPG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Class A common shares, all of which the Company has since sold.  Peppertree is included in the Company’s results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through the closing date and the Company’s gain from the transaction was $127.6 million, which is recorded in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transaction gains.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November 2025, Comvest Partners (“Comvest”) completed the previously announced agreement to sell its private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credit business to Manulife Financial Corporation.  Pursuant to the terms of the agreement, the Company received total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cash consideration of $282.0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its portion of Comvest’s private credit business.  Comvest’s private credit business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included in the Company’s results through the closing date and the portion retained will continue to be included going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forward.  The Company’s gain from the transaction was $227.6 million, which is recorded in Affiliate transaction gains.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December 2025, the Company completed the sale of its minority equity interest in Montrusco Bolton Investments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Inc. (“Montrusco Bolton”) to Walter Global Asset Management Inc.  Pursuant to the terms of the agreement,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received total cash consideration of $22.0 million.  Montrusco Bolton is included in the Company’s results through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closing date and the Company’s gain from the transaction was $16.2 million, which is recorded in Affiliate transaction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gains.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Definite-lived acquired client relationships at the Company’s Affiliates accounted for under the equity method are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amortized over their expected period of economic benefit.  The Company recorded amortization expense for these relationships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$86.0 million, $90.1 million, and $98.1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respectively.  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relationships existing as of December 31, 2025, the Company estimates the amortization expense attributable to its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accounted for under the equity method will be approximately $100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each of 2026 and 2027, approximately $85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in 2028, and approximately $70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in each of 2029 and 2030.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 the second quarter of 2024, the Company recorded a $39.9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expense to reduce the carrying value of an Affiliate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fair value.  The decline in the fair value was a result of an anticipated decline in assets under management, which decreased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forecasted income associated with the investment.  The fair value of the investment was determined using a discounted cash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flow analysis, a Level 3 fair value measurement that included a projected compounded growth in assets under management over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next ten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years of (2.5)%, long-term growth rate of 3%, discount rates of 12%</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asset- and performance-based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fees, respectively, and a market participant tax rate of 21%.  Based on the discounted cash flow analysis,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concluded that the fair value of its investment had declined below its carrying value and that the decline was other-than-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temporary.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shd w:fill="FFFFFF" w:val="clear"/>
        </w:rPr>
        <w:t xml:space="preserve">For the year ended </w:t>
      </w:r>
      <w:r>
        <w:rPr>
          <w:rFonts w:ascii="Times New Roman;serif" w:hAnsi="Times New Roman;serif"/>
          <w:b w:val="false"/>
          <w:i w:val="false"/>
          <w:caps w:val="false"/>
          <w:smallCaps w:val="false"/>
          <w:strike w:val="false"/>
          <w:dstrike w:val="false"/>
          <w:sz w:val="20"/>
          <w:u w:val="none"/>
          <w:effect w:val="none"/>
        </w:rPr>
        <w:t>December 31, 2025, the Company completed its annual assessme</w:t>
      </w:r>
      <w:r>
        <w:rPr>
          <w:rFonts w:ascii="Times New Roman;serif" w:hAnsi="Times New Roman;serif"/>
          <w:b w:val="false"/>
          <w:i w:val="false"/>
          <w:caps w:val="false"/>
          <w:smallCaps w:val="false"/>
          <w:strike w:val="false"/>
          <w:dstrike w:val="false"/>
          <w:sz w:val="20"/>
          <w:u w:val="none"/>
          <w:effect w:val="none"/>
          <w:shd w:fill="FFFFFF" w:val="clear"/>
        </w:rPr>
        <w:t>nt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of its investments in Affiliates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accounted for under the equity method and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impairments were indicated.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January 2026, the Company completed the previously announced agreement with Brown Brothers Harriman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(“BBH”), a privately held global financial services firm, to acquire a minority equity interest in BBH Credit Partners,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newly formed subsidiary of BBH focused on structured and alternative credit investment strategies.  Following the close of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transaction, BBH partners continue to direct day-to-day operations and the Company’s ownership is limited to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minority interest in the BBH Credit Partners subsidiary.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On February 12, 2026, the Company announced the completion of its additional minority investment in Garda Capital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Partners LP (“Garda”), a liquid alternatives manager specializing in fixed income relative value strategies and an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since 2019, and its minority investment in HighBrook Investors (“HighBrook”), a private markets manager specializing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real estate assets.  Following the close of the transactions, the Company’s investment in Garda continues to be accounted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under the equity method and Affiliate management continues to hold a majority of the equity of the respective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businesses and directs the day-to-day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9.</w:t>
      </w:r>
      <w:r>
        <w:rPr>
          <w:rFonts w:ascii="Times New Roman;serif" w:hAnsi="Times New Roman;serif"/>
          <w:b/>
          <w:i w:val="false"/>
          <w:caps w:val="false"/>
          <w:smallCaps w:val="false"/>
          <w:strike w:val="false"/>
          <w:dstrike w:val="false"/>
          <w:sz w:val="20"/>
          <w:u w:val="none"/>
          <w:effect w:val="none"/>
        </w:rPr>
        <w:t>Lease Commitments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and its Affiliates currently lease office space and equipment under various operating leasing arrangements.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total lease costs, net:</w:t>
      </w:r>
    </w:p>
    <w:tbl>
      <w:tblPr>
        <w:tblW w:w="8660" w:type="dxa"/>
        <w:jc w:val="left"/>
        <w:tblInd w:w="0" w:type="dxa"/>
        <w:tblLayout w:type="fixed"/>
        <w:tblCellMar>
          <w:top w:w="28" w:type="dxa"/>
          <w:left w:w="28" w:type="dxa"/>
          <w:bottom w:w="28" w:type="dxa"/>
          <w:right w:w="28" w:type="dxa"/>
        </w:tblCellMar>
      </w:tblPr>
      <w:tblGrid>
        <w:gridCol w:w="5866"/>
        <w:gridCol w:w="109"/>
        <w:gridCol w:w="776"/>
        <w:gridCol w:w="148"/>
        <w:gridCol w:w="776"/>
        <w:gridCol w:w="148"/>
        <w:gridCol w:w="837"/>
      </w:tblGrid>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48"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8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Operating lease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$36.4</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$34.6</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$33.6</w:t>
            </w:r>
          </w:p>
        </w:tc>
      </w:tr>
      <w:tr>
        <w:trPr/>
        <w:tc>
          <w:tcPr>
            <w:tcW w:w="58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Short-term lease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58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Variable lease costs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r>
      <w:tr>
        <w:trPr/>
        <w:tc>
          <w:tcPr>
            <w:tcW w:w="58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Sublease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7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(6.6)</w:t>
            </w:r>
          </w:p>
        </w:tc>
        <w:tc>
          <w:tcPr>
            <w:tcW w:w="148" w:type="dxa"/>
            <w:tcBorders/>
            <w:shd w:fill="FFFFFF" w:val="clear"/>
            <w:vAlign w:val="center"/>
          </w:tcPr>
          <w:p>
            <w:pPr>
              <w:pStyle w:val="TableContents"/>
              <w:bidi w:val="0"/>
              <w:spacing w:before="0" w:after="283"/>
              <w:jc w:val="left"/>
              <w:rPr>
                <w:sz w:val="4"/>
                <w:szCs w:val="4"/>
              </w:rPr>
            </w:pPr>
            <w:r>
              <w:rPr>
                <w:sz w:val="4"/>
                <w:szCs w:val="4"/>
              </w:rPr>
            </w:r>
          </w:p>
        </w:tc>
        <w:tc>
          <w:tcPr>
            <w:tcW w:w="83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w:t>
            </w:r>
          </w:p>
        </w:tc>
      </w:tr>
      <w:tr>
        <w:trPr/>
        <w:tc>
          <w:tcPr>
            <w:tcW w:w="58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lease costs,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$31.0</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7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$29.2</w:t>
            </w:r>
          </w:p>
        </w:tc>
        <w:tc>
          <w:tcPr>
            <w:tcW w:w="148" w:type="dxa"/>
            <w:tcBorders/>
            <w:shd w:fill="CCEEFF" w:val="clear"/>
            <w:vAlign w:val="center"/>
          </w:tcPr>
          <w:p>
            <w:pPr>
              <w:pStyle w:val="TableContents"/>
              <w:bidi w:val="0"/>
              <w:spacing w:before="0" w:after="283"/>
              <w:jc w:val="left"/>
              <w:rPr>
                <w:sz w:val="4"/>
                <w:szCs w:val="4"/>
              </w:rPr>
            </w:pPr>
            <w:r>
              <w:rPr>
                <w:sz w:val="4"/>
                <w:szCs w:val="4"/>
              </w:rPr>
            </w:r>
          </w:p>
        </w:tc>
        <w:tc>
          <w:tcPr>
            <w:tcW w:w="83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Company’s and its Affiliates’ weighted average operating lease term was seven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six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respectively, and the weighted average operating lease discount rate was 3%.</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As of December 31, 2025, the maturities of lease liabilities were as follows:</w:t>
      </w:r>
    </w:p>
    <w:tbl>
      <w:tblPr>
        <w:tblW w:w="10205" w:type="dxa"/>
        <w:jc w:val="left"/>
        <w:tblInd w:w="0" w:type="dxa"/>
        <w:tblLayout w:type="fixed"/>
        <w:tblCellMar>
          <w:top w:w="28" w:type="dxa"/>
          <w:left w:w="28" w:type="dxa"/>
          <w:bottom w:w="28" w:type="dxa"/>
          <w:right w:w="28" w:type="dxa"/>
        </w:tblCellMar>
      </w:tblPr>
      <w:tblGrid>
        <w:gridCol w:w="9152"/>
        <w:gridCol w:w="109"/>
        <w:gridCol w:w="944"/>
      </w:tblGrid>
      <w:tr>
        <w:trPr/>
        <w:tc>
          <w:tcPr>
            <w:tcW w:w="9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9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Operating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Leases</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2026</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$30.4</w:t>
            </w:r>
          </w:p>
        </w:tc>
      </w:tr>
      <w:tr>
        <w:trPr/>
        <w:tc>
          <w:tcPr>
            <w:tcW w:w="9152"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2027</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26.3</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2028</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24.9</w:t>
            </w:r>
          </w:p>
        </w:tc>
      </w:tr>
      <w:tr>
        <w:trPr/>
        <w:tc>
          <w:tcPr>
            <w:tcW w:w="9152"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2029</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23.3</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2030</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21.4</w:t>
            </w:r>
          </w:p>
        </w:tc>
      </w:tr>
      <w:tr>
        <w:trPr/>
        <w:tc>
          <w:tcPr>
            <w:tcW w:w="9152"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Thereafter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36.2</w:t>
            </w:r>
          </w:p>
        </w:tc>
      </w:tr>
      <w:tr>
        <w:trPr/>
        <w:tc>
          <w:tcPr>
            <w:tcW w:w="9152"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Total undiscounted lease liabilities</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16"/>
                <w:u w:val="none"/>
                <w:effect w:val="none"/>
              </w:rPr>
              <w:t>. .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44"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$162.5</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Total undiscounted lease liabilities were $23.5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greater than the operating leases recorded in Other liabilities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primarily due to present value discounting.  Both amounts exclude leases with initial terms of 12 months or less and leases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that have not yet commenced.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10.</w:t>
      </w:r>
      <w:r>
        <w:rPr>
          <w:rFonts w:ascii="Times New Roman;serif" w:hAnsi="Times New Roman;serif"/>
          <w:b/>
          <w:i w:val="false"/>
          <w:caps w:val="false"/>
          <w:smallCaps w:val="false"/>
          <w:strike w:val="false"/>
          <w:dstrike w:val="false"/>
          <w:sz w:val="20"/>
          <w:u w:val="none"/>
          <w:effect w:val="none"/>
        </w:rPr>
        <w:t xml:space="preserve">Fixed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Fixed assets (net) consisted of the following:</w:t>
      </w:r>
    </w:p>
    <w:tbl>
      <w:tblPr>
        <w:tblW w:w="8951" w:type="dxa"/>
        <w:jc w:val="left"/>
        <w:tblInd w:w="0" w:type="dxa"/>
        <w:tblLayout w:type="fixed"/>
        <w:tblCellMar>
          <w:top w:w="28" w:type="dxa"/>
          <w:left w:w="28" w:type="dxa"/>
          <w:bottom w:w="28" w:type="dxa"/>
          <w:right w:w="28" w:type="dxa"/>
        </w:tblCellMar>
      </w:tblPr>
      <w:tblGrid>
        <w:gridCol w:w="7306"/>
        <w:gridCol w:w="109"/>
        <w:gridCol w:w="691"/>
        <w:gridCol w:w="109"/>
        <w:gridCol w:w="736"/>
      </w:tblGrid>
      <w:tr>
        <w:trPr/>
        <w:tc>
          <w:tcPr>
            <w:tcW w:w="7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73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3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Buildings and leasehold improvements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$112.4</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Software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43.5</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Equipment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18.7</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Furniture and fixtures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17.6</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Land, improvements and 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Fixed assets, at cost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213.1</w:t>
            </w:r>
          </w:p>
        </w:tc>
      </w:tr>
      <w:tr>
        <w:trPr/>
        <w:tc>
          <w:tcPr>
            <w:tcW w:w="73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Accumulated depreciation and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(158.7)</w:t>
            </w:r>
          </w:p>
        </w:tc>
      </w:tr>
      <w:tr>
        <w:trPr/>
        <w:tc>
          <w:tcPr>
            <w:tcW w:w="73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Fixed assets (net)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11.</w:t>
      </w:r>
      <w:r>
        <w:rPr>
          <w:rFonts w:ascii="Times New Roman;serif" w:hAnsi="Times New Roman;serif"/>
          <w:b/>
          <w:i w:val="false"/>
          <w:caps w:val="false"/>
          <w:smallCaps w:val="false"/>
          <w:strike w:val="false"/>
          <w:dstrike w:val="false"/>
          <w:sz w:val="20"/>
          <w:u w:val="none"/>
          <w:effect w:val="none"/>
        </w:rPr>
        <w:t>Payables and Accrued Liabilities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Payables and accrued liabilities consisted of the following:</w:t>
      </w:r>
    </w:p>
    <w:tbl>
      <w:tblPr>
        <w:tblW w:w="8651" w:type="dxa"/>
        <w:jc w:val="left"/>
        <w:tblInd w:w="0" w:type="dxa"/>
        <w:tblLayout w:type="fixed"/>
        <w:tblCellMar>
          <w:top w:w="28" w:type="dxa"/>
          <w:left w:w="28" w:type="dxa"/>
          <w:bottom w:w="28" w:type="dxa"/>
          <w:right w:w="28" w:type="dxa"/>
        </w:tblCellMar>
      </w:tblPr>
      <w:tblGrid>
        <w:gridCol w:w="7036"/>
        <w:gridCol w:w="109"/>
        <w:gridCol w:w="676"/>
        <w:gridCol w:w="109"/>
        <w:gridCol w:w="721"/>
      </w:tblGrid>
      <w:tr>
        <w:trPr/>
        <w:tc>
          <w:tcPr>
            <w:tcW w:w="7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0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50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03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Accrued compensation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$329.7</w:t>
            </w:r>
          </w:p>
        </w:tc>
      </w:tr>
      <w:tr>
        <w:trPr/>
        <w:tc>
          <w:tcPr>
            <w:tcW w:w="703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316.8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477.2</w:t>
            </w:r>
          </w:p>
        </w:tc>
      </w:tr>
      <w:tr>
        <w:trPr/>
        <w:tc>
          <w:tcPr>
            <w:tcW w:w="703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Payables and accrued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$806.9</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Other primarily includes unsettled fund shares payable, accrued income taxes, and other accrued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12.</w:t>
      </w:r>
      <w:r>
        <w:rPr>
          <w:rFonts w:ascii="Times New Roman;serif" w:hAnsi="Times New Roman;serif"/>
          <w:b/>
          <w:i w:val="false"/>
          <w:caps w:val="false"/>
          <w:smallCaps w:val="false"/>
          <w:strike w:val="false"/>
          <w:dstrike w:val="false"/>
          <w:sz w:val="20"/>
          <w:u w:val="none"/>
          <w:effect w:val="none"/>
        </w:rPr>
        <w:t>Related Party Transactions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related party transactions in association with its deferred and contingent payment obligations,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Affiliate equity transactions, as more fully described in Notes 6, 13, and 14.</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certain funds of the Company’s consolidated Affiliates may make tax distributions to partners subject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clawback.  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the total receivable was $59.2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$68.6 million, respectively, and was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included in Other assets, and the total payable was $87.8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$99.3 million, respectively, and was included in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liabilities.  These amounts were primarily attributable to the non-controlling interests.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prior owner of one of the Company’s consolidated Affiliates retains interests in certain of the Affiliate’s private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partnerships and, as a result, is a related party of the Company.  The prior owner’s interests are included in Other liabilities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were $14.5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$11.7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may invest from time to time in funds or products advised by its Affiliates.  The Company’s executive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officers and directors may invest from time to time in funds advised or products offered by its Affiliates, or receive other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investment services provided by its Affiliates, on substantially the same terms as other participating investors.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its Affiliates earn asset- and performance-based feed and incur distribution and other expenses for services provided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sponsored investment products.  In addition, the Company and its Affiliates earn fees or incur expenses related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Company’s efforts to develop and distribute Affiliate products.  Affiliate management owners and the Company’s officers may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serve as trustees or directors of certain investment vehicles from which the Company or an Affiliate earns fees.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time to time, the Company may enter into ordinary course engagements for capital markets, banking, brokerage, 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other services with beneficial owners of 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or more of the Company’s voting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13.</w:t>
      </w:r>
      <w:r>
        <w:rPr>
          <w:rFonts w:ascii="Times New Roman;serif" w:hAnsi="Times New Roman;serif"/>
          <w:b/>
          <w:i w:val="false"/>
          <w:caps w:val="false"/>
          <w:smallCaps w:val="false"/>
          <w:strike w:val="false"/>
          <w:dstrike w:val="false"/>
          <w:sz w:val="20"/>
          <w:u w:val="none"/>
          <w:effect w:val="none"/>
        </w:rPr>
        <w:t>Redeemable Non-Controlling Interests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provide holders with an equity interest in one of the Company’s consolidated Affiliates, consistent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the structured partnership interests in place at the respective Affiliate.  Affiliate equity holders generally have a conditional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right to put their interests to the Company at certain intervals (between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15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from the date the equity interest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is received by the Affiliate equity holder or on an annual basis following an Affiliate equity holder’s departure).  Prior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becoming redeemable, the Company’s Affiliate equity is included in Non-controlling interests.  Upon becoming redeemable,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these interests are reclassified to Redeemable non-controlling interests at their current redemption values.  Changes in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current redemption value are recorded to Additional paid-in capital.  When the Company has an unconditional obligation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purchase Affiliate equity interests, the interests are reclassified from Redeemable non-controlling interests to Other liabilities 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current fair value.  Changes in fair value are recorded to Other expenses (net).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Redeemable non-controlling interests:</w:t>
      </w:r>
    </w:p>
    <w:tbl>
      <w:tblPr>
        <w:tblW w:w="9920" w:type="dxa"/>
        <w:jc w:val="left"/>
        <w:tblInd w:w="0" w:type="dxa"/>
        <w:tblLayout w:type="fixed"/>
        <w:tblCellMar>
          <w:top w:w="28" w:type="dxa"/>
          <w:left w:w="28" w:type="dxa"/>
          <w:bottom w:w="28" w:type="dxa"/>
          <w:right w:w="28" w:type="dxa"/>
        </w:tblCellMar>
      </w:tblPr>
      <w:tblGrid>
        <w:gridCol w:w="7546"/>
        <w:gridCol w:w="109"/>
        <w:gridCol w:w="1007"/>
        <w:gridCol w:w="162"/>
        <w:gridCol w:w="1096"/>
      </w:tblGrid>
      <w:tr>
        <w:trPr/>
        <w:tc>
          <w:tcPr>
            <w:tcW w:w="7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75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265"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Redeemable 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r>
      <w:tr>
        <w:trPr/>
        <w:tc>
          <w:tcPr>
            <w:tcW w:w="75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6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$393.4</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$350.5</w:t>
            </w:r>
          </w:p>
        </w:tc>
      </w:tr>
      <w:tr>
        <w:trPr/>
        <w:tc>
          <w:tcPr>
            <w:tcW w:w="7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Increase attributable to consolidated Affiliate sponsored investment products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w:t>
            </w:r>
          </w:p>
        </w:tc>
      </w:tr>
      <w:tr>
        <w:trPr/>
        <w:tc>
          <w:tcPr>
            <w:tcW w:w="7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Transfers to Other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7"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(69.6)</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(152.1)</w:t>
            </w:r>
          </w:p>
        </w:tc>
      </w:tr>
      <w:tr>
        <w:trPr/>
        <w:tc>
          <w:tcPr>
            <w:tcW w:w="7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Transfers from (to)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(53.0)</w:t>
            </w:r>
          </w:p>
        </w:tc>
      </w:tr>
      <w:tr>
        <w:trPr/>
        <w:tc>
          <w:tcPr>
            <w:tcW w:w="75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Changes in redemption value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0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23.9</w:t>
            </w:r>
          </w:p>
        </w:tc>
        <w:tc>
          <w:tcPr>
            <w:tcW w:w="162" w:type="dxa"/>
            <w:tcBorders/>
            <w:shd w:fill="CCEEFF" w:val="clear"/>
            <w:vAlign w:val="center"/>
          </w:tcPr>
          <w:p>
            <w:pPr>
              <w:pStyle w:val="TableContents"/>
              <w:bidi w:val="0"/>
              <w:spacing w:before="0" w:after="283"/>
              <w:jc w:val="left"/>
              <w:rPr>
                <w:sz w:val="4"/>
                <w:szCs w:val="4"/>
              </w:rPr>
            </w:pPr>
            <w:r>
              <w:rPr>
                <w:sz w:val="4"/>
                <w:szCs w:val="4"/>
              </w:rPr>
            </w:r>
          </w:p>
        </w:tc>
        <w:tc>
          <w:tcPr>
            <w:tcW w:w="10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82.1</w:t>
            </w:r>
          </w:p>
        </w:tc>
      </w:tr>
      <w:tr>
        <w:trPr/>
        <w:tc>
          <w:tcPr>
            <w:tcW w:w="75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Balance, end of period</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$350.5</w:t>
            </w:r>
          </w:p>
        </w:tc>
        <w:tc>
          <w:tcPr>
            <w:tcW w:w="162" w:type="dxa"/>
            <w:tcBorders/>
            <w:shd w:fill="FFFFFF" w:val="clear"/>
            <w:vAlign w:val="center"/>
          </w:tcPr>
          <w:p>
            <w:pPr>
              <w:pStyle w:val="TableContents"/>
              <w:bidi w:val="0"/>
              <w:spacing w:before="0" w:after="283"/>
              <w:jc w:val="left"/>
              <w:rPr>
                <w:sz w:val="4"/>
                <w:szCs w:val="4"/>
              </w:rPr>
            </w:pPr>
            <w:r>
              <w:rPr>
                <w:sz w:val="4"/>
                <w:szCs w:val="4"/>
              </w:rPr>
            </w:r>
          </w:p>
        </w:tc>
        <w:tc>
          <w:tcPr>
            <w:tcW w:w="109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$246.8</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Redeemable non-controlling interests includes consolidated Affiliate sponsored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investment products primarily attributable to third-party investors of $12.9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$32.2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14.</w:t>
      </w:r>
      <w:r>
        <w:rPr>
          <w:rFonts w:ascii="Times New Roman;serif" w:hAnsi="Times New Roman;serif"/>
          <w:b/>
          <w:i w:val="false"/>
          <w:caps w:val="false"/>
          <w:smallCaps w:val="false"/>
          <w:strike w:val="false"/>
          <w:dstrike w:val="false"/>
          <w:sz w:val="20"/>
          <w:u w:val="none"/>
          <w:effect w:val="none"/>
        </w:rPr>
        <w:t>Affiliate Equity</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are allocated income in a manner that is consistent with the structured partnership interests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place at the respective Affiliate.  The Company’s consolidated Affiliates generally pay quarterly distributions to Affiliate equity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holders.  Distributions paid to non-controlling interest Affiliate equity holders were $271.3 million, $258.0 million, and $252.3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equity interests provide the Company a conditional right to call (following an Affiliate equity holder’s departure)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Affiliate equity holders have a conditional right to put their interests at certain intervals (including on an annual basis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following an Affiliate equity holder’s departure).  The Company has the right to settle a portion of these purchases in shares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common stock.  For Affiliates accounted for under the equity method, the Company does not typically have such put and call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arrangements.  The purchase price of these conditional purchases are generally calculated based upon a multiple of cash flow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distributions, which is intended to represent fair value.  Affiliate equity holders are also permitted to sell their equity interests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other individuals or entities in certain cases, subject to the Company's approval or other restrictions.  The Company, at 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option, may pay for Affiliate equity purchases in cash, shares of its common stock, or other forms of consideration, and can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consent to the transfer of these interests to Affiliate partners and other parties.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purchases Affiliate equity from and issues Affiliate equity to the Company’s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partners and other parties.  The amount of cash paid for purchases was $67.4 million, $106.5 million, and $176.7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respectively.  The total amount of cash received for issuances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was $13.4 million, $6.3 million, and $6.4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for the years ended December 31, 2023, 2024, and 2025,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Sales and purchases of Affiliate equity generally occur at fair value; however, the Company also grants Affiliate equity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consolidated Affiliate partners and other parties as a form of compensation.  If the equity is issued for consideration below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fair value of the equity, or purchased for consideration above the fair value of the equity, the difference is recorded as 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expense in Compensation and related expenses over the requisite service period.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presents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Affiliate equity expense:</w:t>
      </w:r>
    </w:p>
    <w:tbl>
      <w:tblPr>
        <w:tblW w:w="8674" w:type="dxa"/>
        <w:jc w:val="left"/>
        <w:tblInd w:w="0" w:type="dxa"/>
        <w:tblLayout w:type="fixed"/>
        <w:tblCellMar>
          <w:top w:w="28" w:type="dxa"/>
          <w:left w:w="28" w:type="dxa"/>
          <w:bottom w:w="28" w:type="dxa"/>
          <w:right w:w="28" w:type="dxa"/>
        </w:tblCellMar>
      </w:tblPr>
      <w:tblGrid>
        <w:gridCol w:w="5881"/>
        <w:gridCol w:w="109"/>
        <w:gridCol w:w="737"/>
        <w:gridCol w:w="140"/>
        <w:gridCol w:w="737"/>
        <w:gridCol w:w="140"/>
        <w:gridCol w:w="930"/>
      </w:tblGrid>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r>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40"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$20.2</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$111.4</w:t>
            </w:r>
          </w:p>
        </w:tc>
      </w:tr>
      <w:tr>
        <w:trPr/>
        <w:tc>
          <w:tcPr>
            <w:tcW w:w="588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39.1</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737"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39.4</w:t>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93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w:t>
            </w:r>
          </w:p>
        </w:tc>
      </w:tr>
      <w:tr>
        <w:trPr/>
        <w:tc>
          <w:tcPr>
            <w:tcW w:w="588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Total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$59.6</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93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$143.6</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second quarter of 2025, the terms of certain equity awards at an Affiliate were modified.  The modification included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 mandatory repurchase provision upon termination of employment that changed the awards classification from equity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liability and as a result, the Company recorded incremental Affiliate equity expense of $30.5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attributable to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controlling interest.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unrecognized Affiliate equity expense: </w:t>
      </w:r>
    </w:p>
    <w:tbl>
      <w:tblPr>
        <w:tblW w:w="9726" w:type="dxa"/>
        <w:jc w:val="left"/>
        <w:tblInd w:w="0" w:type="dxa"/>
        <w:tblLayout w:type="fixed"/>
        <w:tblCellMar>
          <w:top w:w="28" w:type="dxa"/>
          <w:left w:w="28" w:type="dxa"/>
          <w:bottom w:w="28" w:type="dxa"/>
          <w:right w:w="28" w:type="dxa"/>
        </w:tblCellMar>
      </w:tblPr>
      <w:tblGrid>
        <w:gridCol w:w="4516"/>
        <w:gridCol w:w="109"/>
        <w:gridCol w:w="991"/>
        <w:gridCol w:w="109"/>
        <w:gridCol w:w="1216"/>
        <w:gridCol w:w="109"/>
        <w:gridCol w:w="1306"/>
        <w:gridCol w:w="109"/>
        <w:gridCol w:w="1261"/>
      </w:tblGrid>
      <w:tr>
        <w:trPr/>
        <w:tc>
          <w:tcPr>
            <w:tcW w:w="4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 Life</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Non-controlling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Interests</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 Life</w:t>
            </w:r>
          </w:p>
        </w:tc>
      </w:tr>
      <w:tr>
        <w:trPr/>
        <w:tc>
          <w:tcPr>
            <w:tcW w:w="45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$235.7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 years</w:t>
            </w:r>
          </w:p>
        </w:tc>
      </w:tr>
      <w:tr>
        <w:trPr/>
        <w:tc>
          <w:tcPr>
            <w:tcW w:w="4516" w:type="dxa"/>
            <w:tcBorders/>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36.7</w:t>
            </w:r>
          </w:p>
        </w:tc>
        <w:tc>
          <w:tcPr>
            <w:tcW w:w="10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 years</w:t>
            </w:r>
          </w:p>
        </w:tc>
        <w:tc>
          <w:tcPr>
            <w:tcW w:w="109"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206.0</w:t>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 years</w:t>
            </w:r>
          </w:p>
        </w:tc>
      </w:tr>
      <w:tr>
        <w:trPr/>
        <w:tc>
          <w:tcPr>
            <w:tcW w:w="45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 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159.5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 years</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records amounts receivable from, and payable to, Affiliate equity holders in connection with the transfer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Affiliate equity interests that have not settled at the end of the period.  The total receivable was $7.9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$4.7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respectively, and was included in Other assets.  The total payable was $54.8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$161.2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respectively, and was included in Other liabilities.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Effects of Changes in the Company’s Ownership in Affiliates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periodically acquires interests from, and transfers interests to, Affiliate equity holders.  Because these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transactions do not result in a change of control, any gain or loss related to these transactions is recorded to Additional paid-in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capital, which increases or decreases the controlling interest’s equity.  No gain or loss related to these transactions is recorded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Consolidated Statements of Income or the Consolidated Statements of Comprehensive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While the Company presents the current redemption value of Affiliate equity within Redeemable non-controlling interests,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with changes in the current redemption value increasing or decreasing the controlling interest’s equity over time, the following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table presents the cumulative effect that ownership changes had on the controlling interest’s equity related only to Affiliate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equity transactions that occurred during the applicable periods:</w:t>
      </w:r>
    </w:p>
    <w:tbl>
      <w:tblPr>
        <w:tblW w:w="9153" w:type="dxa"/>
        <w:jc w:val="left"/>
        <w:tblInd w:w="0" w:type="dxa"/>
        <w:tblLayout w:type="fixed"/>
        <w:tblCellMar>
          <w:top w:w="28" w:type="dxa"/>
          <w:left w:w="28" w:type="dxa"/>
          <w:bottom w:w="28" w:type="dxa"/>
          <w:right w:w="28" w:type="dxa"/>
        </w:tblCellMar>
      </w:tblPr>
      <w:tblGrid>
        <w:gridCol w:w="6361"/>
        <w:gridCol w:w="109"/>
        <w:gridCol w:w="792"/>
        <w:gridCol w:w="127"/>
        <w:gridCol w:w="792"/>
        <w:gridCol w:w="127"/>
        <w:gridCol w:w="845"/>
      </w:tblGrid>
      <w:tr>
        <w:trPr/>
        <w:tc>
          <w:tcPr>
            <w:tcW w:w="6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6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36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36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r>
      <w:tr>
        <w:trPr/>
        <w:tc>
          <w:tcPr>
            <w:tcW w:w="63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Decrease in controlling interest paid-in capital from Affiliate equity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issuances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w:t>
            </w:r>
          </w:p>
        </w:tc>
      </w:tr>
      <w:tr>
        <w:trPr/>
        <w:tc>
          <w:tcPr>
            <w:tcW w:w="636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Decrease in controlling interest paid-in capital from Affiliate equity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purchases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(50.4)</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(47.9)</w:t>
            </w:r>
          </w:p>
        </w:tc>
      </w:tr>
      <w:tr>
        <w:trPr/>
        <w:tc>
          <w:tcPr>
            <w:tcW w:w="636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Net income (controlling interest) including the net impact of Affiliate equity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transactions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$609.0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$475.9</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15.</w:t>
      </w:r>
      <w:r>
        <w:rPr>
          <w:rFonts w:ascii="Times New Roman;serif" w:hAnsi="Times New Roman;serif"/>
          <w:b/>
          <w:i w:val="false"/>
          <w:caps w:val="false"/>
          <w:smallCaps w:val="false"/>
          <w:strike w:val="false"/>
          <w:dstrike w:val="false"/>
          <w:sz w:val="20"/>
          <w:u w:val="none"/>
          <w:effect w:val="none"/>
        </w:rPr>
        <w:t>Stockholders’ Equity</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Preferred Stock</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is authorized to issue up to 5.0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preferred stock.  Any such preferred stock issued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Company may rank prior to common stock as to dividend rights, liquidation preference or both, may have full or limited voting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rights, and may be convertible into shares of common stock.  As of December 31,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the Company had no</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preferred stock outstanding.</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Common Stock</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is authorized to issue up to 150.0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voting common stock and 3.0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class B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non-voting common stock.</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Board of Directors authorized a share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repurchase program in July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repurchase up</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5.4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shares of its common stock and this authorization has no expiry.  Purchases may be made from time to time, at management’s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discretion, in the open market or in privately negotiated transactions, including through the use of trading plans, as well as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pursuant to accelerated share repurchase programs or other share repurchase strategies that may include derivative financial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instruments.  For the year ended December 31, 2025, the Company repurchased 3.3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of its common stock at an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average price per share of $212.92.  As of December 31, 2025, there were a total of 2.0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available for repurchase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under the Company’s July 2024 share repurchase program.  The Company’s Board of Directors authorized an additional share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repurchase program in January 2026</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repurchase up to 4.2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shares of the Company’s common stock.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the Company's share repurchase activity:</w:t>
      </w:r>
    </w:p>
    <w:tbl>
      <w:tblPr>
        <w:tblW w:w="9386" w:type="dxa"/>
        <w:jc w:val="left"/>
        <w:tblInd w:w="0" w:type="dxa"/>
        <w:tblLayout w:type="fixed"/>
        <w:tblCellMar>
          <w:top w:w="28" w:type="dxa"/>
          <w:left w:w="28" w:type="dxa"/>
          <w:bottom w:w="28" w:type="dxa"/>
          <w:right w:w="28" w:type="dxa"/>
        </w:tblCellMar>
      </w:tblPr>
      <w:tblGrid>
        <w:gridCol w:w="6946"/>
        <w:gridCol w:w="109"/>
        <w:gridCol w:w="1036"/>
        <w:gridCol w:w="109"/>
        <w:gridCol w:w="1186"/>
      </w:tblGrid>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Repurchased</w:t>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 Price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 Share</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$132.99</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162.65</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212.92</w:t>
            </w:r>
          </w:p>
        </w:tc>
      </w:tr>
    </w:tbl>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Equity Distribution Program</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In the first quarter of 2025, the Company entered into an equity distribution agreement and forward sale agreements with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several major securities firms under which it may, from time to time, issue and sell shares of its common stock (immediately or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on a forward basis) having an aggregate sales price of up to $500.0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(the “equity distribution program”).  This equity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distribution program superseded and replaced the Company’s prior equity distribution program.  As of December 31, 2025, no</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sales had occurred under the equity distribution program.</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Financial Instruments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equity distribution program meets the definition of equity and is not required to be accounted for separately as a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derivative financial instrument.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Prior to the Election Date, the Company’s junior convertible securities, which contained an embedded right for holders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receive shares of the Company’s common stock under certain conditions, met the definition of equity and were not required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 accounted for separately as derivative financial instruments.  Subsequently, the Company’s election to settle each applicable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conversion premium in cash using a ten-day</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reference period was accounted for as a forward sale contract.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See Note 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16.</w:t>
      </w:r>
      <w:r>
        <w:rPr>
          <w:rFonts w:ascii="Times New Roman;serif" w:hAnsi="Times New Roman;serif"/>
          <w:b/>
          <w:i w:val="false"/>
          <w:caps w:val="false"/>
          <w:smallCaps w:val="false"/>
          <w:strike w:val="false"/>
          <w:dstrike w:val="false"/>
          <w:sz w:val="20"/>
          <w:u w:val="none"/>
          <w:effect w:val="none"/>
        </w:rPr>
        <w:t>Share-Based Compensation</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Share-Based Incentive Plans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established various plans under which it is authorized to grant restricted stock, restricted stock units,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stock options, and stock appreciation rights.  The Company may also grant cash awards that can be notionally invested in one 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more specified measurement funds, including the Company’s common stock.  Awards granted under the Company’s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based incentive plans typically participate in any dividends declared, but such amounts are deferred until delivery of the shares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and are forfeitable if the requisite service is not satisfied.  Dividends may accrue in cash or may be reinvested in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common stock.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Share-Based Compensation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following table presents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share-based compensation expense:</w:t>
      </w:r>
    </w:p>
    <w:tbl>
      <w:tblPr>
        <w:tblW w:w="9296" w:type="dxa"/>
        <w:jc w:val="left"/>
        <w:tblInd w:w="0" w:type="dxa"/>
        <w:tblLayout w:type="fixed"/>
        <w:tblCellMar>
          <w:top w:w="28" w:type="dxa"/>
          <w:left w:w="28" w:type="dxa"/>
          <w:bottom w:w="28" w:type="dxa"/>
          <w:right w:w="28" w:type="dxa"/>
        </w:tblCellMar>
      </w:tblPr>
      <w:tblGrid>
        <w:gridCol w:w="6946"/>
        <w:gridCol w:w="109"/>
        <w:gridCol w:w="1141"/>
        <w:gridCol w:w="109"/>
        <w:gridCol w:w="991"/>
      </w:tblGrid>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6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Share-Based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Compensation</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Expense</w:t>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Tax Benefit</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w:t>
            </w:r>
          </w:p>
        </w:tc>
      </w:tr>
      <w:tr>
        <w:trPr/>
        <w:tc>
          <w:tcPr>
            <w:tcW w:w="69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6.3</w:t>
            </w:r>
          </w:p>
        </w:tc>
      </w:tr>
      <w:tr>
        <w:trPr/>
        <w:tc>
          <w:tcPr>
            <w:tcW w:w="69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excess tax benefit recognized from share-based incentive plans was $4.4 million, $10.3 million, and $20.3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years ended December 31, 2023, 2024, and 2025,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2024, the Company had unrecognized share-based compensation expense of $38.1 million.  As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2025, the Company had unrecognized share-based compensation of $70.2 million, which will be recognized over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 weighted average period of approximately three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(assuming no forfeitures). </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Restricted Stock</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transactions in the Company’s restricted stock units:</w:t>
      </w:r>
    </w:p>
    <w:tbl>
      <w:tblPr>
        <w:tblW w:w="9401" w:type="dxa"/>
        <w:jc w:val="left"/>
        <w:tblInd w:w="0" w:type="dxa"/>
        <w:tblLayout w:type="fixed"/>
        <w:tblCellMar>
          <w:top w:w="28" w:type="dxa"/>
          <w:left w:w="28" w:type="dxa"/>
          <w:bottom w:w="28" w:type="dxa"/>
          <w:right w:w="28" w:type="dxa"/>
        </w:tblCellMar>
      </w:tblPr>
      <w:tblGrid>
        <w:gridCol w:w="7216"/>
        <w:gridCol w:w="109"/>
        <w:gridCol w:w="931"/>
        <w:gridCol w:w="109"/>
        <w:gridCol w:w="1036"/>
      </w:tblGrid>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7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Restricted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Units</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Grant Date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Value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 Unit</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Unvested units, as of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$147.46</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Units granted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167.96</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Units vested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137.69</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Units forfeited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154.29</w:t>
            </w:r>
          </w:p>
        </w:tc>
      </w:tr>
      <w:tr>
        <w:trPr/>
        <w:tc>
          <w:tcPr>
            <w:tcW w:w="721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Performance condition changes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164.94</w:t>
            </w:r>
          </w:p>
        </w:tc>
      </w:tr>
      <w:tr>
        <w:trPr/>
        <w:tc>
          <w:tcPr>
            <w:tcW w:w="721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Unvested units, as of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$161.80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granted restricted stock units with fair values of $49.3 million, $31.3 million, and $54.8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ended December 31, 2023, 2024, and 2025, respectively.  These restricted stock units were valued based on the closing price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common stock on the grant date and the number of shares expected to vest.  Restricted stock units containing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vesting conditions generally require service over a period of three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may also require the satisfaction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performance conditions.  For awards with performance conditions, the number of restricted stock units expected to vest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may change over time depending upon the performance level expected to be achieved.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total fair value of restricted stock units vested was $86.2 million, $50.5 million, and $59.0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2023, 2024, and 2025, respectively.  As of December 31, 2025, the Company had 1.6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shares available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grant under its plans.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sz w:val="20"/>
          <w:u w:val="single"/>
        </w:rPr>
      </w:pPr>
      <w:r>
        <w:rPr>
          <w:rFonts w:ascii="Times New Roman;serif" w:hAnsi="Times New Roman;serif"/>
          <w:b w:val="false"/>
          <w:i/>
          <w:sz w:val="20"/>
          <w:u w:val="single"/>
        </w:rPr>
        <w:t>Stock Options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summarizes transactions in the Company’s stock options:</w:t>
      </w:r>
    </w:p>
    <w:tbl>
      <w:tblPr>
        <w:tblW w:w="9331" w:type="dxa"/>
        <w:jc w:val="left"/>
        <w:tblInd w:w="0" w:type="dxa"/>
        <w:tblLayout w:type="fixed"/>
        <w:tblCellMar>
          <w:top w:w="28" w:type="dxa"/>
          <w:left w:w="28" w:type="dxa"/>
          <w:bottom w:w="28" w:type="dxa"/>
          <w:right w:w="28" w:type="dxa"/>
        </w:tblCellMar>
      </w:tblPr>
      <w:tblGrid>
        <w:gridCol w:w="6166"/>
        <w:gridCol w:w="109"/>
        <w:gridCol w:w="676"/>
        <w:gridCol w:w="109"/>
        <w:gridCol w:w="1126"/>
        <w:gridCol w:w="109"/>
        <w:gridCol w:w="1036"/>
      </w:tblGrid>
      <w:tr>
        <w:trPr/>
        <w:tc>
          <w:tcPr>
            <w:tcW w:w="6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6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Stock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Options</w:t>
            </w:r>
          </w:p>
        </w:tc>
        <w:tc>
          <w:tcPr>
            <w:tcW w:w="109" w:type="dxa"/>
            <w:tcBorders/>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Exercise Price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 Option</w:t>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Weighted</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Average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Remaining</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Contractual</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Life (Years)</w:t>
            </w:r>
          </w:p>
        </w:tc>
      </w:tr>
      <w:tr>
        <w:trPr/>
        <w:tc>
          <w:tcPr>
            <w:tcW w:w="6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Unexercised options outstanding, as of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Options granted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Options exercised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75.69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Options forfeited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Options expired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203.22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before="0" w:after="283"/>
              <w:jc w:val="left"/>
              <w:rPr>
                <w:sz w:val="4"/>
                <w:szCs w:val="4"/>
              </w:rPr>
            </w:pPr>
            <w:r>
              <w:rPr>
                <w:sz w:val="4"/>
                <w:szCs w:val="4"/>
              </w:rPr>
            </w:r>
          </w:p>
        </w:tc>
      </w:tr>
      <w:tr>
        <w:trPr/>
        <w:tc>
          <w:tcPr>
            <w:tcW w:w="6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Performance condition changes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129.17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r>
      <w:tr>
        <w:trPr/>
        <w:tc>
          <w:tcPr>
            <w:tcW w:w="616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Unexercised options outstanding, as of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616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Exercisable at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$76.60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 did not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grant any stock options for the years ended December 31, 2023, 2024, and 2025.  Stock options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generally vest over a period of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expire seven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after the grant date.  All stock options have been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granted with exercise prices equal to the closing price of the Company’s common stock on the grant date.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outstanding stock options contain both service and performance conditions.  For awards with performance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conditions, the number of stock options expected to vest may change over time depending upon the performance level expected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to be achieved.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generally uses treasury stock to settle stock option exercises.  The total intrinsic value of stock options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exercised for the years ended December 31, 2023, 2024, 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was $0.2 million, $150.7 million, and $187.6 million,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The cash received for stock options exercised was zero, $0.3 million, and $2.8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December 31, 2023, 2024, and 2025, respectively.  As of December 31, 2025, the intrinsic value of exercisable stock options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outstanding was $37.0 million, and 1.1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options were available for grant under the Company’s option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17.</w:t>
      </w:r>
      <w:r>
        <w:rPr>
          <w:rFonts w:ascii="Times New Roman;serif" w:hAnsi="Times New Roman;serif"/>
          <w:b/>
          <w:i w:val="false"/>
          <w:caps w:val="false"/>
          <w:smallCaps w:val="false"/>
          <w:strike w:val="false"/>
          <w:dstrike w:val="false"/>
          <w:sz w:val="20"/>
          <w:u w:val="none"/>
          <w:effect w:val="none"/>
        </w:rPr>
        <w:t>Benefit Plans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has a defined contribution plan that is a qualified employee profit-sharing plan, covering substantially all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its employees.  Under this plan, the Company is able to make discretionary contributions for the benefit of its employees that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are qualified plan participants, up to Internal Revenue Service (“IRS”) limits.  The Company’s consolidated Affiliates generally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have their own qualified defined contribution retirement plans covering their respective employees or, for several Affiliates, had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their employees covered under the Company’s plan until February or March 2023, as applicable.  In each case, the relevant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 was able to make discretionary contributions for the benefit of its employees, as applicable, that were qualified plan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participants, up to IRS limits.  Consolidated expenses related to these plans were $24.8 million, $24.9 million, and $24.5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respectively.  The controlling interest’s portion of expenses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related to these plans were $3.6 million, $4.6 million, and $4.0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for the years ended December 31, 2023, 2024, and 2025,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18.</w:t>
      </w:r>
      <w:r>
        <w:rPr>
          <w:rFonts w:ascii="Times New Roman;serif" w:hAnsi="Times New Roman;serif"/>
          <w:b/>
          <w:i w:val="false"/>
          <w:caps w:val="false"/>
          <w:smallCaps w:val="false"/>
          <w:strike w:val="false"/>
          <w:dstrike w:val="false"/>
          <w:sz w:val="20"/>
          <w:u w:val="none"/>
          <w:effect w:val="none"/>
        </w:rPr>
        <w:t>Income Taxes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consolidated income tax provision includes taxes attributable to the controlling interest and, to a lesser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extent, taxes attributable to the non-controlling interests.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consolidated provision for income taxes:</w:t>
      </w:r>
    </w:p>
    <w:tbl>
      <w:tblPr>
        <w:tblW w:w="8898" w:type="dxa"/>
        <w:jc w:val="left"/>
        <w:tblInd w:w="0" w:type="dxa"/>
        <w:tblLayout w:type="fixed"/>
        <w:tblCellMar>
          <w:top w:w="28" w:type="dxa"/>
          <w:left w:w="28" w:type="dxa"/>
          <w:bottom w:w="28" w:type="dxa"/>
          <w:right w:w="28" w:type="dxa"/>
        </w:tblCellMar>
      </w:tblPr>
      <w:tblGrid>
        <w:gridCol w:w="6106"/>
        <w:gridCol w:w="109"/>
        <w:gridCol w:w="792"/>
        <w:gridCol w:w="127"/>
        <w:gridCol w:w="792"/>
        <w:gridCol w:w="127"/>
        <w:gridCol w:w="845"/>
      </w:tblGrid>
      <w:tr>
        <w:trPr/>
        <w:tc>
          <w:tcPr>
            <w:tcW w:w="6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6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10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Controlling interest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$178.3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$174.8</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$272.2</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$282.3</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before income taxes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$851.2</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$686.4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doub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$988.8</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Effective tax rate (controlling interest)</w:t>
            </w:r>
            <w:r>
              <w:rPr>
                <w:rFonts w:ascii="Times New Roman;serif" w:hAnsi="Times New Roman;serif"/>
                <w:b w:val="false"/>
                <w:i w:val="false"/>
                <w:caps w:val="false"/>
                <w:smallCaps w:val="false"/>
                <w:strike w:val="false"/>
                <w:dstrike w:val="false"/>
                <w:sz w:val="10"/>
                <w:u w:val="none"/>
                <w:effect w:val="none"/>
              </w:rPr>
              <w:t>(2)</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doub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27.5%</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For the years ended December 31, 2023, 2024, and 2025, income tax expense (controlling interest) included intangible-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related deferred tax expense of $29.8 million, $66.7 million, and $53.1 million,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(2)</w:t>
      </w:r>
      <w:r>
        <w:rPr>
          <w:rFonts w:ascii="Times New Roman;serif" w:hAnsi="Times New Roman;serif"/>
          <w:b w:val="false"/>
          <w:i w:val="false"/>
          <w:caps w:val="false"/>
          <w:smallCaps w:val="false"/>
          <w:strike w:val="false"/>
          <w:dstrike w:val="false"/>
          <w:sz w:val="20"/>
          <w:u w:val="none"/>
          <w:effect w:val="none"/>
        </w:rPr>
        <w:t>Taxes attributable to the controlling interest divided by income before income taxes (controlling interest).</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consolidated provision for income taxes consisted of the following:</w:t>
      </w:r>
    </w:p>
    <w:tbl>
      <w:tblPr>
        <w:tblW w:w="8418" w:type="dxa"/>
        <w:jc w:val="left"/>
        <w:tblInd w:w="0" w:type="dxa"/>
        <w:tblLayout w:type="fixed"/>
        <w:tblCellMar>
          <w:top w:w="28" w:type="dxa"/>
          <w:left w:w="28" w:type="dxa"/>
          <w:bottom w:w="28" w:type="dxa"/>
          <w:right w:w="28" w:type="dxa"/>
        </w:tblCellMar>
      </w:tblPr>
      <w:tblGrid>
        <w:gridCol w:w="5626"/>
        <w:gridCol w:w="109"/>
        <w:gridCol w:w="792"/>
        <w:gridCol w:w="127"/>
        <w:gridCol w:w="792"/>
        <w:gridCol w:w="127"/>
        <w:gridCol w:w="845"/>
      </w:tblGrid>
      <w:tr>
        <w:trPr/>
        <w:tc>
          <w:tcPr>
            <w:tcW w:w="5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56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62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62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Current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56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Federal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$105.2</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$59.6</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$95.2</w:t>
            </w:r>
          </w:p>
        </w:tc>
      </w:tr>
      <w:tr>
        <w:trPr/>
        <w:tc>
          <w:tcPr>
            <w:tcW w:w="5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10.8</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w:t>
            </w:r>
          </w:p>
        </w:tc>
      </w:tr>
      <w:tr>
        <w:trPr/>
        <w:tc>
          <w:tcPr>
            <w:tcW w:w="56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37.9</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45.8</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83.4</w:t>
            </w:r>
          </w:p>
        </w:tc>
      </w:tr>
      <w:tr>
        <w:trPr/>
        <w:tc>
          <w:tcPr>
            <w:tcW w:w="5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current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153.9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122.0</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198.5</w:t>
            </w:r>
          </w:p>
        </w:tc>
      </w:tr>
      <w:tr>
        <w:trPr/>
        <w:tc>
          <w:tcPr>
            <w:tcW w:w="5626" w:type="dxa"/>
            <w:tcBorders/>
            <w:shd w:fill="FFFF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Deferred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5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Federal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27.3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52.5</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78.5</w:t>
            </w:r>
          </w:p>
        </w:tc>
      </w:tr>
      <w:tr>
        <w:trPr/>
        <w:tc>
          <w:tcPr>
            <w:tcW w:w="56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11.9</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18.9</w:t>
            </w:r>
          </w:p>
        </w:tc>
      </w:tr>
      <w:tr>
        <w:trPr/>
        <w:tc>
          <w:tcPr>
            <w:tcW w:w="5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(13.6)</w:t>
            </w:r>
          </w:p>
        </w:tc>
      </w:tr>
      <w:tr>
        <w:trPr/>
        <w:tc>
          <w:tcPr>
            <w:tcW w:w="562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deferred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60.6</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83.8</w:t>
            </w:r>
          </w:p>
        </w:tc>
      </w:tr>
      <w:tr>
        <w:trPr/>
        <w:tc>
          <w:tcPr>
            <w:tcW w:w="562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Income tax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$282.3</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For financial reporting purposes, Income before income taxes consisted of the following:</w:t>
      </w:r>
    </w:p>
    <w:tbl>
      <w:tblPr>
        <w:tblW w:w="8567" w:type="dxa"/>
        <w:jc w:val="left"/>
        <w:tblInd w:w="0" w:type="dxa"/>
        <w:tblLayout w:type="fixed"/>
        <w:tblCellMar>
          <w:top w:w="28" w:type="dxa"/>
          <w:left w:w="28" w:type="dxa"/>
          <w:bottom w:w="28" w:type="dxa"/>
          <w:right w:w="28" w:type="dxa"/>
        </w:tblCellMar>
      </w:tblPr>
      <w:tblGrid>
        <w:gridCol w:w="5776"/>
        <w:gridCol w:w="109"/>
        <w:gridCol w:w="856"/>
        <w:gridCol w:w="112"/>
        <w:gridCol w:w="700"/>
        <w:gridCol w:w="112"/>
        <w:gridCol w:w="902"/>
      </w:tblGrid>
      <w:tr>
        <w:trPr/>
        <w:tc>
          <w:tcPr>
            <w:tcW w:w="5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2"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776"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12"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7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Domestic</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$782.3</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$678.5</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$1,005.7</w:t>
            </w:r>
          </w:p>
        </w:tc>
      </w:tr>
      <w:tr>
        <w:trPr/>
        <w:tc>
          <w:tcPr>
            <w:tcW w:w="577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International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5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309.1</w:t>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700"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244.7</w:t>
            </w:r>
          </w:p>
        </w:tc>
        <w:tc>
          <w:tcPr>
            <w:tcW w:w="112" w:type="dxa"/>
            <w:tcBorders/>
            <w:shd w:fill="FFFFFF" w:val="clear"/>
            <w:vAlign w:val="center"/>
          </w:tcPr>
          <w:p>
            <w:pPr>
              <w:pStyle w:val="TableContents"/>
              <w:bidi w:val="0"/>
              <w:spacing w:before="0" w:after="283"/>
              <w:jc w:val="left"/>
              <w:rPr>
                <w:sz w:val="4"/>
                <w:szCs w:val="4"/>
              </w:rPr>
            </w:pPr>
            <w:r>
              <w:rPr>
                <w:sz w:val="4"/>
                <w:szCs w:val="4"/>
              </w:rPr>
            </w:r>
          </w:p>
        </w:tc>
        <w:tc>
          <w:tcPr>
            <w:tcW w:w="90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180.6</w:t>
            </w:r>
          </w:p>
        </w:tc>
      </w:tr>
      <w:tr>
        <w:trPr/>
        <w:tc>
          <w:tcPr>
            <w:tcW w:w="577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5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$1,091.4</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70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$923.2</w:t>
            </w:r>
          </w:p>
        </w:tc>
        <w:tc>
          <w:tcPr>
            <w:tcW w:w="112" w:type="dxa"/>
            <w:tcBorders/>
            <w:shd w:fill="CCEEFF" w:val="clear"/>
            <w:vAlign w:val="center"/>
          </w:tcPr>
          <w:p>
            <w:pPr>
              <w:pStyle w:val="TableContents"/>
              <w:bidi w:val="0"/>
              <w:spacing w:before="0" w:after="283"/>
              <w:jc w:val="left"/>
              <w:rPr>
                <w:sz w:val="4"/>
                <w:szCs w:val="4"/>
              </w:rPr>
            </w:pPr>
            <w:r>
              <w:rPr>
                <w:sz w:val="4"/>
                <w:szCs w:val="4"/>
              </w:rPr>
            </w:r>
          </w:p>
        </w:tc>
        <w:tc>
          <w:tcPr>
            <w:tcW w:w="90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$1,186.3</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following table presents consolidated income taxes paid, net</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by jurisdiction:</w:t>
      </w:r>
    </w:p>
    <w:tbl>
      <w:tblPr>
        <w:tblW w:w="8613" w:type="dxa"/>
        <w:jc w:val="left"/>
        <w:tblInd w:w="0" w:type="dxa"/>
        <w:tblLayout w:type="fixed"/>
        <w:tblCellMar>
          <w:top w:w="28" w:type="dxa"/>
          <w:left w:w="28" w:type="dxa"/>
          <w:bottom w:w="28" w:type="dxa"/>
          <w:right w:w="28" w:type="dxa"/>
        </w:tblCellMar>
      </w:tblPr>
      <w:tblGrid>
        <w:gridCol w:w="5821"/>
        <w:gridCol w:w="109"/>
        <w:gridCol w:w="792"/>
        <w:gridCol w:w="127"/>
        <w:gridCol w:w="792"/>
        <w:gridCol w:w="127"/>
        <w:gridCol w:w="845"/>
      </w:tblGrid>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82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8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U.S. federal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$240.3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$52.6</w:t>
            </w:r>
          </w:p>
        </w:tc>
      </w:tr>
      <w:tr>
        <w:trPr/>
        <w:tc>
          <w:tcPr>
            <w:tcW w:w="58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United Kingdom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42.3</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39.0</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43.0</w:t>
            </w:r>
          </w:p>
        </w:tc>
      </w:tr>
      <w:tr>
        <w:trPr/>
        <w:tc>
          <w:tcPr>
            <w:tcW w:w="58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31.9</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20.6</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w:t>
            </w:r>
          </w:p>
        </w:tc>
      </w:tr>
      <w:tr>
        <w:trPr/>
        <w:tc>
          <w:tcPr>
            <w:tcW w:w="58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$314.5</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$142.5</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$110.7</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reconciles the U.S. federal statutory tax rate to the Company’s effective tax rate:</w:t>
      </w:r>
    </w:p>
    <w:tbl>
      <w:tblPr>
        <w:tblW w:w="8416" w:type="dxa"/>
        <w:jc w:val="left"/>
        <w:tblInd w:w="0" w:type="dxa"/>
        <w:tblLayout w:type="fixed"/>
        <w:tblCellMar>
          <w:top w:w="28" w:type="dxa"/>
          <w:left w:w="28" w:type="dxa"/>
          <w:bottom w:w="28" w:type="dxa"/>
          <w:right w:w="28" w:type="dxa"/>
        </w:tblCellMar>
      </w:tblPr>
      <w:tblGrid>
        <w:gridCol w:w="3751"/>
        <w:gridCol w:w="109"/>
        <w:gridCol w:w="676"/>
        <w:gridCol w:w="109"/>
        <w:gridCol w:w="646"/>
        <w:gridCol w:w="109"/>
        <w:gridCol w:w="676"/>
        <w:gridCol w:w="109"/>
        <w:gridCol w:w="646"/>
        <w:gridCol w:w="109"/>
        <w:gridCol w:w="676"/>
        <w:gridCol w:w="109"/>
        <w:gridCol w:w="691"/>
      </w:tblGrid>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7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4556" w:type="dxa"/>
            <w:gridSpan w:val="11"/>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3751" w:type="dxa"/>
            <w:tcBorders/>
            <w:vAlign w:val="center"/>
          </w:tcPr>
          <w:p>
            <w:pPr>
              <w:pStyle w:val="TableContents"/>
              <w:bidi w:val="0"/>
              <w:spacing w:lineRule="atLeast" w:line="16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3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t>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w:t>
            </w:r>
          </w:p>
        </w:tc>
      </w:tr>
      <w:tr>
        <w:trPr/>
        <w:tc>
          <w:tcPr>
            <w:tcW w:w="37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Statutory U.S. federal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21.0%</w:t>
            </w:r>
          </w:p>
        </w:tc>
      </w:tr>
      <w:tr>
        <w:trPr/>
        <w:tc>
          <w:tcPr>
            <w:tcW w:w="37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State income taxes, net of federal benefit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r>
      <w:tr>
        <w:trPr/>
        <w:tc>
          <w:tcPr>
            <w:tcW w:w="3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Foreign tax effects: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before="0" w:after="283"/>
              <w:jc w:val="left"/>
              <w:rPr>
                <w:sz w:val="4"/>
                <w:szCs w:val="4"/>
              </w:rPr>
            </w:pPr>
            <w:r>
              <w:rPr>
                <w:sz w:val="4"/>
                <w:szCs w:val="4"/>
              </w:rPr>
            </w:r>
          </w:p>
        </w:tc>
      </w:tr>
      <w:tr>
        <w:trPr/>
        <w:tc>
          <w:tcPr>
            <w:tcW w:w="3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United Kingdom</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Affiliate equity expense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37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r>
      <w:tr>
        <w:trPr/>
        <w:tc>
          <w:tcPr>
            <w:tcW w:w="37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foreign jurisdictions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r>
      <w:tr>
        <w:trPr/>
        <w:tc>
          <w:tcPr>
            <w:tcW w:w="37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Effect of cross-border tax laws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r>
      <w:tr>
        <w:trPr/>
        <w:tc>
          <w:tcPr>
            <w:tcW w:w="37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Nontaxable or nondeductible items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r>
      <w:tr>
        <w:trPr/>
        <w:tc>
          <w:tcPr>
            <w:tcW w:w="37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 in valuation allowance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r>
      <w:tr>
        <w:trPr/>
        <w:tc>
          <w:tcPr>
            <w:tcW w:w="375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Unrecognized tax benefits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r>
      <w:tr>
        <w:trPr/>
        <w:tc>
          <w:tcPr>
            <w:tcW w:w="375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Other adjustments: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r>
      <w:tr>
        <w:trPr/>
        <w:tc>
          <w:tcPr>
            <w:tcW w:w="375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Effect of income from non-controlling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9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(2.6)%</w:t>
            </w:r>
          </w:p>
        </w:tc>
      </w:tr>
      <w:tr>
        <w:trPr/>
        <w:tc>
          <w:tcPr>
            <w:tcW w:w="375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Effective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$185.3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23.8%</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 xml:space="preserve">The state and local jurisdictions that make up the majority of the effect of the state and local income tax include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Massachusetts, California, and New York.</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effective tax rate (controlling interest) in 2023</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lower than the marginal tax rate of 24.5 %, primarily due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to discrete benefits from foreign operations.  The effective tax rate (controlling interest) in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higher than the marginal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rate of 24.5%, primarily due to an expense to reduce the carrying value of a foreign Affiliate to fair value for which no tax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benefit was recorded, partially offset by tax windfalls attributable to share-based compensation.  The effective tax rate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(controlling interest) in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is higher than the marginal tax rate of 24.5%, primarily due to unrecognized tax benefits and non-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deductible compensation expense, partially offset by tax windfalls attributable to share-based compensation.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effective tax rate reflects the relative contributions of earnings in the jurisdictions in which the Company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and its Affiliates operate and is impacted by changes in the jurisdictional mix of income before taxes.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Deferred tax liability (net) reflects the expected future tax consequences of temporary differences between the financial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reporting bases and tax bases of the Company’s assets and liabilities.  The significant components of the Company’s Deferred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tax liability (net) are as follows:</w:t>
      </w:r>
    </w:p>
    <w:tbl>
      <w:tblPr>
        <w:tblW w:w="9011" w:type="dxa"/>
        <w:jc w:val="left"/>
        <w:tblInd w:w="0" w:type="dxa"/>
        <w:tblLayout w:type="fixed"/>
        <w:tblCellMar>
          <w:top w:w="28" w:type="dxa"/>
          <w:left w:w="28" w:type="dxa"/>
          <w:bottom w:w="28" w:type="dxa"/>
          <w:right w:w="28" w:type="dxa"/>
        </w:tblCellMar>
      </w:tblPr>
      <w:tblGrid>
        <w:gridCol w:w="7156"/>
        <w:gridCol w:w="109"/>
        <w:gridCol w:w="796"/>
        <w:gridCol w:w="109"/>
        <w:gridCol w:w="841"/>
      </w:tblGrid>
      <w:tr>
        <w:trPr/>
        <w:tc>
          <w:tcPr>
            <w:tcW w:w="7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715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174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715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71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Deferred Tax Assets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State net operating loss carryforwards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$13.7</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loss carryforwards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19.6</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tax credits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16.5</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22.5</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deferred tax assets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81.3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72.3</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Valuation allowance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(47.0)</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Deferred tax assets, net of valuation allowance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w:t>
            </w:r>
          </w:p>
        </w:tc>
      </w:tr>
      <w:tr>
        <w:trPr/>
        <w:tc>
          <w:tcPr>
            <w:tcW w:w="715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Deferred Tax Liabilities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Intangible asset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(353.0)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(392.6)</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Non-deductible intangible amortization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(82.9)</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Junior convertible securities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(92.6)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(58.3)</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(22.8)</w:t>
            </w:r>
          </w:p>
        </w:tc>
      </w:tr>
      <w:tr>
        <w:trPr/>
        <w:tc>
          <w:tcPr>
            <w:tcW w:w="715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 deferred tax liabilities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(555.0)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(556.6)</w:t>
            </w:r>
          </w:p>
        </w:tc>
      </w:tr>
      <w:tr>
        <w:trPr/>
        <w:tc>
          <w:tcPr>
            <w:tcW w:w="715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Deferred tax liability (net)</w:t>
            </w:r>
            <w:r>
              <w:rPr>
                <w:rFonts w:ascii="Times New Roman;serif" w:hAnsi="Times New Roman;serif"/>
                <w:b w:val="false"/>
                <w:i w:val="false"/>
                <w:caps w:val="false"/>
                <w:smallCaps w:val="false"/>
                <w:strike w:val="false"/>
                <w:dstrike w:val="false"/>
                <w:sz w:val="10"/>
                <w:u w:val="none"/>
                <w:effect w:val="none"/>
              </w:rPr>
              <w:t>(1)</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$(531.3)</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foreign loss carryforwards of $17.7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of a $15.7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valuation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allowance) and $19.6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(net of a $17.8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valuation allowance), respectively, are included in Other assets as they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represent a net deferred tax asset in a foreign jurisdiction.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 of December 31, 2025, the Company had available state net operating loss carryforwards of $213.3 million, a majority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of which will expire over four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seven years, foreign loss carryforwards of $73.9 million, of which $51.5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will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expire over ten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14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$22.4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will carry forward indefinitely, and foreign tax credit carryforwards of $16.5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a majority of which will expire over five years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to seven years.</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believed it was more-likely-than-not that the benefit from certain state and foreign loss carryforwards and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foreign tax credit carryforwards would not be fully realized, and, as of December 31, 2025, had valuation allowances of $12.7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$17.8 million, and $16.5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on the state and foreign loss carryforwards and the foreign tax credit carryforwards,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respectively.  For the years ended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and 2025, the Company decreased its valuation allowance $2.8 million</w:t>
      </w:r>
      <w:r>
        <w:rPr>
          <w:caps w:val="false"/>
          <w:smallCaps w:val="false"/>
          <w:strike w:val="false"/>
          <w:dstrike w:val="false"/>
          <w:sz w:val="24"/>
          <w:u w:val="none"/>
          <w:effect w:val="none"/>
        </w:rPr>
        <w:t xml:space="preserv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and increased its valuation allowance $2.2 million, respectively.</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Company’s estimates and assumptions regarding the realization of its state and foreign loss carryforwards do not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contemplate certain changes in ownership of the Company’s stock which could limit the utilization of these carryforwards.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provides for U.S. income taxes on all foreign earnings.  The Company does not provide for U.S. income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taxes on the portion of the excess of the financial reporting bases over tax bases in the Company’s investments in foreign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subsidiaries considered permanent in duration.  Such amount would generally become taxable upon the repatriation of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from, or a sale or liquidation of, the foreign subsidiaries.  A determination of the potential amount of unrecognized U.S. income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tax related to these amounts is not practicable because of the numerous assumptions associated with this</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hypothetical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calculation.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 presents the changes in unrecognized tax benefits:</w:t>
      </w:r>
    </w:p>
    <w:tbl>
      <w:tblPr>
        <w:tblW w:w="8900" w:type="dxa"/>
        <w:jc w:val="left"/>
        <w:tblInd w:w="0" w:type="dxa"/>
        <w:tblLayout w:type="fixed"/>
        <w:tblCellMar>
          <w:top w:w="28" w:type="dxa"/>
          <w:left w:w="28" w:type="dxa"/>
          <w:bottom w:w="28" w:type="dxa"/>
          <w:right w:w="28" w:type="dxa"/>
        </w:tblCellMar>
      </w:tblPr>
      <w:tblGrid>
        <w:gridCol w:w="6106"/>
        <w:gridCol w:w="109"/>
        <w:gridCol w:w="790"/>
        <w:gridCol w:w="147"/>
        <w:gridCol w:w="770"/>
        <w:gridCol w:w="147"/>
        <w:gridCol w:w="831"/>
      </w:tblGrid>
      <w:tr>
        <w:trPr/>
        <w:tc>
          <w:tcPr>
            <w:tcW w:w="6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r>
      <w:tr>
        <w:trPr/>
        <w:tc>
          <w:tcPr>
            <w:tcW w:w="6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5"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1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4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beginning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$49.6</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$37.8</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$37.3</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Additions based on current year tax positions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Additions based on prior years’ tax positions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Reduction for prior years’ tax positions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(13.5)</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Lapse of the statute of limitations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Settlements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r>
      <w:tr>
        <w:trPr/>
        <w:tc>
          <w:tcPr>
            <w:tcW w:w="61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77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47" w:type="dxa"/>
            <w:tcBorders/>
            <w:shd w:fill="CCEEFF" w:val="clear"/>
            <w:vAlign w:val="center"/>
          </w:tcPr>
          <w:p>
            <w:pPr>
              <w:pStyle w:val="TableContents"/>
              <w:bidi w:val="0"/>
              <w:spacing w:before="0" w:after="283"/>
              <w:jc w:val="left"/>
              <w:rPr>
                <w:sz w:val="4"/>
                <w:szCs w:val="4"/>
              </w:rPr>
            </w:pPr>
            <w:r>
              <w:rPr>
                <w:sz w:val="4"/>
                <w:szCs w:val="4"/>
              </w:rPr>
            </w:r>
          </w:p>
        </w:tc>
        <w:tc>
          <w:tcPr>
            <w:tcW w:w="8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61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end of period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$37.8</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770"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$37.3</w:t>
            </w:r>
          </w:p>
        </w:tc>
        <w:tc>
          <w:tcPr>
            <w:tcW w:w="147" w:type="dxa"/>
            <w:tcBorders/>
            <w:shd w:fill="FFFFFF" w:val="clear"/>
            <w:vAlign w:val="center"/>
          </w:tcPr>
          <w:p>
            <w:pPr>
              <w:pStyle w:val="TableContents"/>
              <w:bidi w:val="0"/>
              <w:spacing w:before="0" w:after="283"/>
              <w:jc w:val="left"/>
              <w:rPr>
                <w:sz w:val="4"/>
                <w:szCs w:val="4"/>
              </w:rPr>
            </w:pPr>
            <w:r>
              <w:rPr>
                <w:sz w:val="4"/>
                <w:szCs w:val="4"/>
              </w:rPr>
            </w:r>
          </w:p>
        </w:tc>
        <w:tc>
          <w:tcPr>
            <w:tcW w:w="8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$46.0</w:t>
            </w:r>
          </w:p>
        </w:tc>
      </w:tr>
    </w:tbl>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Included in the balance of unrecognized tax benefits as of December 31, 2023, 2024, and 2025</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were $37.8 million, $37.3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million, and $46.0 million, respectively, of tax benefits that, if recognized, would favorably affect the Company’s effective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tax rate (controlling interest).  As of December 31, 2025, certain of these benefits, if realized, would be offset by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utilization of indirect tax benefits, for which the Company had accrued deferred tax assets of $7.0 million.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records accrued interest and penalties related to unrecognized tax benefits in Income tax expense.  For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years ended December 31, 2023, 2024, and 2025, interest and penalties related to unrecognized tax benefits were $0.8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million, $(0.5) million, and $(0.1) million, respectively.  As of December 31, 2024</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2025, the Company had accrued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interest and penalties related to unrecognized tax benefits of $13.9 million</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and $13.8 million, respectively.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Company is subject to U.S. federal, state and local, and foreign income tax in multiple jurisdictions and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periodically subject to tax examinations in these jurisdictions.  The completion of examinations may result in the payment of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additional taxes and/or the recognition of tax benefits.  The Company is generally no longer subject to income tax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examinations by U.S. federal, state and local, or foreign taxing authorities for periods prior to 2019.</w:t>
      </w:r>
      <w:r>
        <w:rPr>
          <w:caps w:val="false"/>
          <w:smallCaps w:val="false"/>
          <w:strike w:val="false"/>
          <w:dstrike w:val="false"/>
          <w:sz w:val="24"/>
          <w:u w:val="none"/>
          <w:effect w:val="none"/>
        </w:rPr>
        <w:t xml:space="preserv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Company continues to monitor and evaluate legislative developments related to the Organization for Economic Co-</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operation and Development’s Pillar Two directive (“Pillar Two”), which establishes a framework for a global minimum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corporate tax rate of 15%.  Several countries in which the Company or its Affiliates operate are adopting legislation to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implement Pillar Two.  The Company currently does not expect Pillar Two to have a material impact on its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19.</w:t>
      </w:r>
      <w:r>
        <w:rPr>
          <w:rFonts w:ascii="Times New Roman;serif" w:hAnsi="Times New Roman;serif"/>
          <w:b/>
          <w:i w:val="false"/>
          <w:caps w:val="false"/>
          <w:smallCaps w:val="false"/>
          <w:strike w:val="false"/>
          <w:dstrike w:val="false"/>
          <w:sz w:val="20"/>
          <w:u w:val="none"/>
          <w:effect w:val="none"/>
        </w:rPr>
        <w:t>Earnings Per Share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calculation of Earnings per share (basic) is based on the weighted average number of shares of the Company’s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common stock outstanding during the period.  Earnings per share (diluted) is similar to Earnings per share (basic), but adjusts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for the dilutive effect of the potential issuance of incremental shares of the Company’s common stock.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 presents a reconciliation of the numerator and denominator used in the calculation of basic and diluted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earnings per share available to common stockholders:</w:t>
      </w:r>
    </w:p>
    <w:tbl>
      <w:tblPr>
        <w:tblW w:w="9003" w:type="dxa"/>
        <w:jc w:val="left"/>
        <w:tblInd w:w="0" w:type="dxa"/>
        <w:tblLayout w:type="fixed"/>
        <w:tblCellMar>
          <w:top w:w="28" w:type="dxa"/>
          <w:left w:w="28" w:type="dxa"/>
          <w:bottom w:w="28" w:type="dxa"/>
          <w:right w:w="28" w:type="dxa"/>
        </w:tblCellMar>
      </w:tblPr>
      <w:tblGrid>
        <w:gridCol w:w="6211"/>
        <w:gridCol w:w="109"/>
        <w:gridCol w:w="792"/>
        <w:gridCol w:w="127"/>
        <w:gridCol w:w="792"/>
        <w:gridCol w:w="127"/>
        <w:gridCol w:w="845"/>
      </w:tblGrid>
      <w:tr>
        <w:trPr/>
        <w:tc>
          <w:tcPr>
            <w:tcW w:w="6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62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3"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21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2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21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Numerator</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$672.9</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$511.6</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$716.6</w:t>
            </w:r>
          </w:p>
        </w:tc>
      </w:tr>
      <w:tr>
        <w:trPr/>
        <w:tc>
          <w:tcPr>
            <w:tcW w:w="621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Income from hypothetical settlement of Redeemable non-controlling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interests, net of tax</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49.0</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 expense on junior convertible securities, net of taxes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13.4</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12.9</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income (controlling interest), as adjusted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$735.3</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$545.5</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$750.0</w:t>
            </w:r>
          </w:p>
        </w:tc>
      </w:tr>
      <w:tr>
        <w:trPr/>
        <w:tc>
          <w:tcPr>
            <w:tcW w:w="6211" w:type="dxa"/>
            <w:tcBorders/>
            <w:shd w:fill="FFFF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Denominator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double" w:sz="8" w:space="0" w:color="000000"/>
            </w:tcBorders>
            <w:shd w:fill="FFFF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shares outstanding (basic)</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35.1</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28.5</w:t>
            </w:r>
          </w:p>
        </w:tc>
      </w:tr>
      <w:tr>
        <w:trPr/>
        <w:tc>
          <w:tcPr>
            <w:tcW w:w="6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Effect of dilutive instruments: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before="0" w:after="283"/>
              <w:jc w:val="left"/>
              <w:rPr>
                <w:sz w:val="4"/>
                <w:szCs w:val="4"/>
              </w:rPr>
            </w:pPr>
            <w:r>
              <w:rPr>
                <w:sz w:val="4"/>
                <w:szCs w:val="4"/>
              </w:rPr>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left"/>
              <w:rPr>
                <w:sz w:val="4"/>
                <w:szCs w:val="4"/>
              </w:rPr>
            </w:pPr>
            <w:r>
              <w:rPr>
                <w:sz w:val="4"/>
                <w:szCs w:val="4"/>
              </w:rPr>
            </w:r>
          </w:p>
        </w:tc>
      </w:tr>
      <w:tr>
        <w:trPr/>
        <w:tc>
          <w:tcPr>
            <w:tcW w:w="62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Stock options and restricted stock units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r>
      <w:tr>
        <w:trPr/>
        <w:tc>
          <w:tcPr>
            <w:tcW w:w="621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Hypothetical issuance of shares to settle Redeemable non-controlling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1.6</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r>
      <w:tr>
        <w:trPr/>
        <w:tc>
          <w:tcPr>
            <w:tcW w:w="621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Assumed issuance of junior convertible securities shares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79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c>
          <w:tcPr>
            <w:tcW w:w="127" w:type="dxa"/>
            <w:tcBorders/>
            <w:shd w:fill="CCEEFF" w:val="clear"/>
            <w:vAlign w:val="center"/>
          </w:tcPr>
          <w:p>
            <w:pPr>
              <w:pStyle w:val="TableContents"/>
              <w:bidi w:val="0"/>
              <w:spacing w:before="0" w:after="283"/>
              <w:jc w:val="left"/>
              <w:rPr>
                <w:sz w:val="4"/>
                <w:szCs w:val="4"/>
              </w:rPr>
            </w:pPr>
            <w:r>
              <w:rPr>
                <w:sz w:val="4"/>
                <w:szCs w:val="4"/>
              </w:rPr>
            </w:r>
          </w:p>
        </w:tc>
        <w:tc>
          <w:tcPr>
            <w:tcW w:w="845"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1.7</w:t>
            </w:r>
          </w:p>
        </w:tc>
      </w:tr>
      <w:tr>
        <w:trPr/>
        <w:tc>
          <w:tcPr>
            <w:tcW w:w="621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Average shares outstanding (diluted)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42.2</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792"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36.1</w:t>
            </w:r>
          </w:p>
        </w:tc>
        <w:tc>
          <w:tcPr>
            <w:tcW w:w="127"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33.0</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Average shares outstanding (diluted) in the table above excludes stock options and restricted stock units that have not met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certain performance conditions and instruments that have an anti-dilutive effect on Earnings per share (diluted).  The following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table presents a summary of items excluded from the denominator in the table above:</w:t>
      </w:r>
    </w:p>
    <w:tbl>
      <w:tblPr>
        <w:tblW w:w="9034" w:type="dxa"/>
        <w:jc w:val="left"/>
        <w:tblInd w:w="0" w:type="dxa"/>
        <w:tblLayout w:type="fixed"/>
        <w:tblCellMar>
          <w:top w:w="28" w:type="dxa"/>
          <w:left w:w="28" w:type="dxa"/>
          <w:bottom w:w="28" w:type="dxa"/>
          <w:right w:w="28" w:type="dxa"/>
        </w:tblCellMar>
      </w:tblPr>
      <w:tblGrid>
        <w:gridCol w:w="6241"/>
        <w:gridCol w:w="109"/>
        <w:gridCol w:w="753"/>
        <w:gridCol w:w="176"/>
        <w:gridCol w:w="753"/>
        <w:gridCol w:w="176"/>
        <w:gridCol w:w="826"/>
      </w:tblGrid>
      <w:tr>
        <w:trPr/>
        <w:tc>
          <w:tcPr>
            <w:tcW w:w="6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62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2684"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6241"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7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24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Stock options and restricted stock units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75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7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r>
      <w:tr>
        <w:trPr/>
        <w:tc>
          <w:tcPr>
            <w:tcW w:w="624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Shares issuable to settle Redeemable non-controlling interests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5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75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w:t>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20.</w:t>
      </w:r>
      <w:r>
        <w:rPr>
          <w:rFonts w:ascii="Times New Roman;serif" w:hAnsi="Times New Roman;serif"/>
          <w:b/>
          <w:i w:val="false"/>
          <w:caps w:val="false"/>
          <w:smallCaps w:val="false"/>
          <w:strike w:val="false"/>
          <w:dstrike w:val="false"/>
          <w:sz w:val="20"/>
          <w:u w:val="none"/>
          <w:effect w:val="none"/>
        </w:rPr>
        <w:t>Comprehensive Income</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following tables present the tax effects allocated to each component of Other comprehensive income:</w:t>
      </w:r>
    </w:p>
    <w:tbl>
      <w:tblPr>
        <w:tblW w:w="9496" w:type="dxa"/>
        <w:jc w:val="left"/>
        <w:tblInd w:w="0" w:type="dxa"/>
        <w:tblLayout w:type="fixed"/>
        <w:tblCellMar>
          <w:top w:w="28" w:type="dxa"/>
          <w:left w:w="28" w:type="dxa"/>
          <w:bottom w:w="28" w:type="dxa"/>
          <w:right w:w="28" w:type="dxa"/>
        </w:tblCellMar>
      </w:tblPr>
      <w:tblGrid>
        <w:gridCol w:w="6346"/>
        <w:gridCol w:w="109"/>
        <w:gridCol w:w="706"/>
        <w:gridCol w:w="109"/>
        <w:gridCol w:w="1186"/>
        <w:gridCol w:w="109"/>
        <w:gridCol w:w="931"/>
      </w:tblGrid>
      <w:tr>
        <w:trPr/>
        <w:tc>
          <w:tcPr>
            <w:tcW w:w="6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 Ended December 31, 2023</w:t>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Tax (Expense) </w:t>
            </w:r>
          </w:p>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 xml:space="preserve">Benefit </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$41.1</w:t>
            </w:r>
          </w:p>
        </w:tc>
      </w:tr>
      <w:tr>
        <w:trPr/>
        <w:tc>
          <w:tcPr>
            <w:tcW w:w="63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instruments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$41.9</w:t>
            </w:r>
          </w:p>
        </w:tc>
      </w:tr>
    </w:tbl>
    <w:tbl>
      <w:tblPr>
        <w:tblW w:w="9484" w:type="dxa"/>
        <w:jc w:val="left"/>
        <w:tblInd w:w="0" w:type="dxa"/>
        <w:tblLayout w:type="fixed"/>
        <w:tblCellMar>
          <w:top w:w="28" w:type="dxa"/>
          <w:left w:w="28" w:type="dxa"/>
          <w:bottom w:w="28" w:type="dxa"/>
          <w:right w:w="28" w:type="dxa"/>
        </w:tblCellMar>
      </w:tblPr>
      <w:tblGrid>
        <w:gridCol w:w="6346"/>
        <w:gridCol w:w="109"/>
        <w:gridCol w:w="744"/>
        <w:gridCol w:w="114"/>
        <w:gridCol w:w="1076"/>
        <w:gridCol w:w="114"/>
        <w:gridCol w:w="981"/>
      </w:tblGrid>
      <w:tr>
        <w:trPr/>
        <w:tc>
          <w:tcPr>
            <w:tcW w:w="6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29"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 Ended December 31, 2024</w:t>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Tax Expense</w:t>
            </w:r>
          </w:p>
        </w:tc>
        <w:tc>
          <w:tcPr>
            <w:tcW w:w="114"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$11.0</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$(9.5)</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r>
      <w:tr>
        <w:trPr/>
        <w:tc>
          <w:tcPr>
            <w:tcW w:w="63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instruments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107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44"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076"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981"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$12.0</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1076"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$(9.9)</w:t>
            </w:r>
          </w:p>
        </w:tc>
        <w:tc>
          <w:tcPr>
            <w:tcW w:w="114" w:type="dxa"/>
            <w:tcBorders/>
            <w:shd w:fill="FFFFFF" w:val="clear"/>
            <w:vAlign w:val="center"/>
          </w:tcPr>
          <w:p>
            <w:pPr>
              <w:pStyle w:val="TableContents"/>
              <w:bidi w:val="0"/>
              <w:spacing w:before="0" w:after="283"/>
              <w:jc w:val="left"/>
              <w:rPr>
                <w:sz w:val="4"/>
                <w:szCs w:val="4"/>
              </w:rPr>
            </w:pPr>
            <w:r>
              <w:rPr>
                <w:sz w:val="4"/>
                <w:szCs w:val="4"/>
              </w:rPr>
            </w:r>
          </w:p>
        </w:tc>
        <w:tc>
          <w:tcPr>
            <w:tcW w:w="981"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tbl>
      <w:tblPr>
        <w:tblW w:w="9482" w:type="dxa"/>
        <w:jc w:val="left"/>
        <w:tblInd w:w="0" w:type="dxa"/>
        <w:tblLayout w:type="fixed"/>
        <w:tblCellMar>
          <w:top w:w="28" w:type="dxa"/>
          <w:left w:w="28" w:type="dxa"/>
          <w:bottom w:w="28" w:type="dxa"/>
          <w:right w:w="28" w:type="dxa"/>
        </w:tblCellMar>
      </w:tblPr>
      <w:tblGrid>
        <w:gridCol w:w="6346"/>
        <w:gridCol w:w="109"/>
        <w:gridCol w:w="763"/>
        <w:gridCol w:w="117"/>
        <w:gridCol w:w="1023"/>
        <w:gridCol w:w="117"/>
        <w:gridCol w:w="1007"/>
      </w:tblGrid>
      <w:tr>
        <w:trPr/>
        <w:tc>
          <w:tcPr>
            <w:tcW w:w="6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3027"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 Ended December 31, 2025</w:t>
            </w:r>
          </w:p>
        </w:tc>
      </w:tr>
      <w:tr>
        <w:trPr/>
        <w:tc>
          <w:tcPr>
            <w:tcW w:w="63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Pre-Tax</w:t>
            </w:r>
          </w:p>
        </w:tc>
        <w:tc>
          <w:tcPr>
            <w:tcW w:w="1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z w:val="16"/>
              </w:rPr>
            </w:pPr>
            <w:r>
              <w:rPr>
                <w:rFonts w:ascii="Times New Roman;serif" w:hAnsi="Times New Roman;serif"/>
                <w:b/>
                <w:i w:val="false"/>
                <w:caps w:val="false"/>
                <w:smallCaps w:val="false"/>
                <w:sz w:val="16"/>
              </w:rPr>
              <w:t>Tax Benefit</w:t>
            </w:r>
          </w:p>
        </w:tc>
        <w:tc>
          <w:tcPr>
            <w:tcW w:w="117"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Net of Tax</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Foreign currency translation gain</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$69.2</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007"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$70.2</w:t>
            </w:r>
          </w:p>
        </w:tc>
      </w:tr>
      <w:tr>
        <w:trPr/>
        <w:tc>
          <w:tcPr>
            <w:tcW w:w="63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Change in net realized and unrealized gain (loss) on derivative financial </w:t>
            </w:r>
          </w:p>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instruments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1007"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r>
      <w:tr>
        <w:trPr/>
        <w:tc>
          <w:tcPr>
            <w:tcW w:w="634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Change in net unrealized gain (loss) on available-for-sale debt securities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6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17" w:type="dxa"/>
            <w:tcBorders/>
            <w:shd w:fill="CCEEFF" w:val="clear"/>
            <w:vAlign w:val="center"/>
          </w:tcPr>
          <w:p>
            <w:pPr>
              <w:pStyle w:val="TableContents"/>
              <w:bidi w:val="0"/>
              <w:spacing w:before="0" w:after="283"/>
              <w:jc w:val="left"/>
              <w:rPr>
                <w:sz w:val="4"/>
                <w:szCs w:val="4"/>
              </w:rPr>
            </w:pPr>
            <w:r>
              <w:rPr>
                <w:sz w:val="4"/>
                <w:szCs w:val="4"/>
              </w:rPr>
            </w:r>
          </w:p>
        </w:tc>
        <w:tc>
          <w:tcPr>
            <w:tcW w:w="1007"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r>
      <w:tr>
        <w:trPr/>
        <w:tc>
          <w:tcPr>
            <w:tcW w:w="634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6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$68.7</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17" w:type="dxa"/>
            <w:tcBorders/>
            <w:shd w:fill="FFFFFF" w:val="clear"/>
            <w:vAlign w:val="center"/>
          </w:tcPr>
          <w:p>
            <w:pPr>
              <w:pStyle w:val="TableContents"/>
              <w:bidi w:val="0"/>
              <w:spacing w:before="0" w:after="283"/>
              <w:jc w:val="left"/>
              <w:rPr>
                <w:sz w:val="4"/>
                <w:szCs w:val="4"/>
              </w:rPr>
            </w:pPr>
            <w:r>
              <w:rPr>
                <w:sz w:val="4"/>
                <w:szCs w:val="4"/>
              </w:rPr>
            </w:r>
          </w:p>
        </w:tc>
        <w:tc>
          <w:tcPr>
            <w:tcW w:w="1007" w:type="dxa"/>
            <w:tcBorders>
              <w:top w:val="single" w:sz="8" w:space="0" w:color="000000"/>
              <w:bottom w:val="doub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$69.7</w:t>
            </w:r>
          </w:p>
        </w:tc>
      </w:tr>
    </w:tbl>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The components of accumulated other comprehensive loss, net of taxes, were as follows:</w:t>
      </w:r>
    </w:p>
    <w:tbl>
      <w:tblPr>
        <w:tblW w:w="10205" w:type="dxa"/>
        <w:jc w:val="left"/>
        <w:tblInd w:w="0" w:type="dxa"/>
        <w:tblLayout w:type="fixed"/>
        <w:tblCellMar>
          <w:top w:w="28" w:type="dxa"/>
          <w:left w:w="28" w:type="dxa"/>
          <w:bottom w:w="28" w:type="dxa"/>
          <w:right w:w="28" w:type="dxa"/>
        </w:tblCellMar>
      </w:tblPr>
      <w:tblGrid>
        <w:gridCol w:w="5735"/>
        <w:gridCol w:w="109"/>
        <w:gridCol w:w="990"/>
        <w:gridCol w:w="109"/>
        <w:gridCol w:w="1212"/>
        <w:gridCol w:w="109"/>
        <w:gridCol w:w="989"/>
        <w:gridCol w:w="109"/>
        <w:gridCol w:w="843"/>
      </w:tblGrid>
      <w:tr>
        <w:trPr/>
        <w:tc>
          <w:tcPr>
            <w:tcW w:w="5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Foreign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Currency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Translation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Adjustment</w:t>
            </w:r>
          </w:p>
        </w:tc>
        <w:tc>
          <w:tcPr>
            <w:tcW w:w="109" w:type="dxa"/>
            <w:tcBorders/>
            <w:vAlign w:val="center"/>
          </w:tcPr>
          <w:p>
            <w:pPr>
              <w:pStyle w:val="TableContents"/>
              <w:bidi w:val="0"/>
              <w:spacing w:before="0" w:after="283"/>
              <w:jc w:val="left"/>
              <w:rPr>
                <w:sz w:val="4"/>
                <w:szCs w:val="4"/>
              </w:rPr>
            </w:pPr>
            <w:r>
              <w:rPr>
                <w:sz w:val="4"/>
                <w:szCs w:val="4"/>
              </w:rPr>
            </w:r>
          </w:p>
        </w:tc>
        <w:tc>
          <w:tcPr>
            <w:tcW w:w="1212"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Realized and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Unrealized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Gain (Loss) on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Derivative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Financial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Instruments</w:t>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Unrealized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Gain (Loss)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on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Available-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for-Sale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Debt </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 xml:space="preserve">Securities </w:t>
            </w:r>
          </w:p>
        </w:tc>
        <w:tc>
          <w:tcPr>
            <w:tcW w:w="109" w:type="dxa"/>
            <w:tcBorders/>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Total</w:t>
            </w:r>
          </w:p>
        </w:tc>
      </w:tr>
      <w:tr>
        <w:trPr/>
        <w:tc>
          <w:tcPr>
            <w:tcW w:w="5735"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as of December 31, 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$(255.9)</w:t>
            </w:r>
          </w:p>
        </w:tc>
      </w:tr>
      <w:tr>
        <w:trPr/>
        <w:tc>
          <w:tcPr>
            <w:tcW w:w="5735"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sz w:val="20"/>
                <w:u w:val="none"/>
                <w:effect w:val="none"/>
              </w:rPr>
              <w:t>Other comprehensive income (loss) before reclassifications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w:t>
            </w:r>
          </w:p>
        </w:tc>
      </w:tr>
      <w:tr>
        <w:trPr/>
        <w:tc>
          <w:tcPr>
            <w:tcW w:w="5735"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Amounts reclassified</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0.7</w:t>
            </w:r>
          </w:p>
        </w:tc>
      </w:tr>
      <w:tr>
        <w:trPr/>
        <w:tc>
          <w:tcPr>
            <w:tcW w:w="5735"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r>
      <w:tr>
        <w:trPr/>
        <w:tc>
          <w:tcPr>
            <w:tcW w:w="5735"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as of December 31, 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2"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$(253.8)</w:t>
            </w:r>
          </w:p>
        </w:tc>
      </w:tr>
      <w:tr>
        <w:trPr/>
        <w:tc>
          <w:tcPr>
            <w:tcW w:w="5735"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 comprehensive income (loss) before reclassifications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0"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71.0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2"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3"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70.2</w:t>
            </w:r>
          </w:p>
        </w:tc>
      </w:tr>
      <w:tr>
        <w:trPr/>
        <w:tc>
          <w:tcPr>
            <w:tcW w:w="5735"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 xml:space="preserve">Amounts reclassified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2"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3" w:type="dxa"/>
            <w:tcBorders>
              <w:bottom w:val="single" w:sz="8" w:space="0" w:color="000000"/>
            </w:tcBorders>
            <w:shd w:fill="CCEE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r>
      <w:tr>
        <w:trPr/>
        <w:tc>
          <w:tcPr>
            <w:tcW w:w="5735"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Net other comprehensive income</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70.2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12"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single" w:sz="8" w:space="0" w:color="000000"/>
            </w:tcBorders>
            <w:shd w:fill="FFFF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69.7</w:t>
            </w:r>
          </w:p>
        </w:tc>
      </w:tr>
      <w:tr>
        <w:trPr/>
        <w:tc>
          <w:tcPr>
            <w:tcW w:w="5735"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Balance, as of December 31, 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90"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$(183.6)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12"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43"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sz w:val="24"/>
        </w:rPr>
      </w:pPr>
      <w:r>
        <w:rPr>
          <w:rFonts w:ascii="Times New Roman;serif" w:hAnsi="Times New Roman;serif"/>
          <w:b/>
          <w:i w:val="false"/>
          <w:caps w:val="false"/>
          <w:smallCaps w:val="false"/>
          <w:sz w:val="20"/>
        </w:rPr>
        <w:t>21.</w:t>
      </w:r>
      <w:r>
        <w:rPr>
          <w:rFonts w:ascii="Times New Roman;serif" w:hAnsi="Times New Roman;serif"/>
          <w:b/>
          <w:i w:val="false"/>
          <w:caps w:val="false"/>
          <w:smallCaps w:val="false"/>
          <w:strike w:val="false"/>
          <w:dstrike w:val="false"/>
          <w:sz w:val="20"/>
          <w:u w:val="none"/>
          <w:effect w:val="none"/>
        </w:rPr>
        <w:t>Segment and Geographic Information</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Company operates in one</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segment.  Accordingly, the Company’s Consolidated revenue, Net income, and Total assets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reflect the revenue, profit, and assets of the Company’s single segment, respectively.</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The Company’s Chief Executive Officer</w:t>
      </w:r>
      <w:r>
        <w:rPr>
          <w:caps w:val="false"/>
          <w:smallCaps w:val="false"/>
          <w:strike w:val="false"/>
          <w:dstrike w:val="false"/>
          <w:sz w:val="24"/>
          <w:u w:val="none"/>
          <w:effect w:val="none"/>
        </w:rPr>
        <w:t xml:space="preserve"> </w:t>
      </w:r>
      <w:r>
        <w:rPr>
          <w:rFonts w:ascii="Times New Roman;serif" w:hAnsi="Times New Roman;serif"/>
          <w:b w:val="false"/>
          <w:i w:val="false"/>
          <w:caps w:val="false"/>
          <w:smallCaps w:val="false"/>
          <w:strike w:val="false"/>
          <w:dstrike w:val="false"/>
          <w:sz w:val="20"/>
          <w:u w:val="none"/>
          <w:effect w:val="none"/>
        </w:rPr>
        <w:t xml:space="preserve">is the chief operating decision maker (“CODM”).  The CODM uses Net income 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assessing the performance and in determining the allocation of resources of the Company’s reportable segment.  The CODM is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regularly provided expense information consistent with the expense categories presented in the Company’s Consolidated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Statements of Income.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AFFILIATED MANAGERS GROUP, INC.</w:t>
      </w: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NOTES TO CONSOLIDATED FINANCIAL STATEMENTS (Continued)</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The following tables present Consolidated revenue and Fixed assets (net) of the Company by geographic location.  For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Affiliates, this information is primarily based on the location of the Affiliates’ headquarters.</w:t>
      </w:r>
    </w:p>
    <w:tbl>
      <w:tblPr>
        <w:tblW w:w="8671" w:type="dxa"/>
        <w:jc w:val="left"/>
        <w:tblInd w:w="0" w:type="dxa"/>
        <w:tblLayout w:type="fixed"/>
        <w:tblCellMar>
          <w:top w:w="28" w:type="dxa"/>
          <w:left w:w="28" w:type="dxa"/>
          <w:bottom w:w="28" w:type="dxa"/>
          <w:right w:w="28" w:type="dxa"/>
        </w:tblCellMar>
      </w:tblPr>
      <w:tblGrid>
        <w:gridCol w:w="5821"/>
        <w:gridCol w:w="109"/>
        <w:gridCol w:w="826"/>
        <w:gridCol w:w="109"/>
        <w:gridCol w:w="826"/>
        <w:gridCol w:w="109"/>
        <w:gridCol w:w="871"/>
      </w:tblGrid>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1" w:type="dxa"/>
            <w:gridSpan w:val="5"/>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For the Years Ended December 31,</w:t>
            </w:r>
          </w:p>
        </w:tc>
      </w:tr>
      <w:tr>
        <w:trPr/>
        <w:tc>
          <w:tcPr>
            <w:tcW w:w="58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2023</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582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Consolidated revenue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United States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$1,519.3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$1,486.9</w:t>
            </w:r>
          </w:p>
        </w:tc>
      </w:tr>
      <w:tr>
        <w:trPr/>
        <w:tc>
          <w:tcPr>
            <w:tcW w:w="58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United Kingdom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498.3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500.5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527.0</w:t>
            </w:r>
          </w:p>
        </w:tc>
      </w:tr>
      <w:tr>
        <w:trPr/>
        <w:tc>
          <w:tcPr>
            <w:tcW w:w="582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55.2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60.5</w:t>
            </w:r>
          </w:p>
        </w:tc>
      </w:tr>
      <w:tr>
        <w:trPr/>
        <w:tc>
          <w:tcPr>
            <w:tcW w:w="582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$2,057.8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$2,040.9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$2,074.4</w:t>
            </w:r>
          </w:p>
        </w:tc>
      </w:tr>
    </w:tbl>
    <w:tbl>
      <w:tblPr>
        <w:tblW w:w="8396" w:type="dxa"/>
        <w:jc w:val="left"/>
        <w:tblInd w:w="0" w:type="dxa"/>
        <w:tblLayout w:type="fixed"/>
        <w:tblCellMar>
          <w:top w:w="28" w:type="dxa"/>
          <w:left w:w="28" w:type="dxa"/>
          <w:bottom w:w="28" w:type="dxa"/>
          <w:right w:w="28" w:type="dxa"/>
        </w:tblCellMar>
      </w:tblPr>
      <w:tblGrid>
        <w:gridCol w:w="6991"/>
        <w:gridCol w:w="109"/>
        <w:gridCol w:w="571"/>
        <w:gridCol w:w="109"/>
        <w:gridCol w:w="616"/>
      </w:tblGrid>
      <w:tr>
        <w:trPr/>
        <w:tc>
          <w:tcPr>
            <w:tcW w:w="6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6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December 31,</w:t>
            </w:r>
          </w:p>
        </w:tc>
      </w:tr>
      <w:tr>
        <w:trPr/>
        <w:tc>
          <w:tcPr>
            <w:tcW w:w="6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2024</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single" w:sz="8" w:space="0" w:color="000000"/>
            </w:tcBorders>
            <w:tcMar>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2025</w:t>
            </w:r>
          </w:p>
        </w:tc>
      </w:tr>
      <w:tr>
        <w:trPr/>
        <w:tc>
          <w:tcPr>
            <w:tcW w:w="6991"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 xml:space="preserve">Fixed assets (net)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United States</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$48.9</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w:t>
            </w:r>
          </w:p>
        </w:tc>
      </w:tr>
      <w:tr>
        <w:trPr/>
        <w:tc>
          <w:tcPr>
            <w:tcW w:w="699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United Kingdom</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8.5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r>
      <w:tr>
        <w:trPr/>
        <w:tc>
          <w:tcPr>
            <w:tcW w:w="6991"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Other</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16" w:type="dxa"/>
            <w:tcBorders>
              <w:bottom w:val="single" w:sz="8" w:space="0" w:color="000000"/>
            </w:tcBorders>
            <w:shd w:fill="FFFFFF" w:val="clear"/>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r>
      <w:tr>
        <w:trPr/>
        <w:tc>
          <w:tcPr>
            <w:tcW w:w="6991"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Total</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571"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shd w:fill="CCEEFF" w:val="clear"/>
            <w:tcMar>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$54.4</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Schedule II</w:t>
      </w:r>
    </w:p>
    <w:p>
      <w:pPr>
        <w:pStyle w:val="TextBody"/>
        <w:bidi w:val="0"/>
        <w:spacing w:lineRule="atLeast" w:line="200" w:before="0" w:after="0"/>
        <w:jc w:val="left"/>
        <w:rPr>
          <w:rFonts w:ascii="Times New Roman;serif" w:hAnsi="Times New Roman;serif"/>
          <w:b/>
          <w:i w:val="false"/>
          <w:caps w:val="false"/>
          <w:smallCaps w:val="false"/>
          <w:strike w:val="false"/>
          <w:dstrike w:val="false"/>
          <w:sz w:val="20"/>
          <w:u w:val="none"/>
          <w:effect w:val="none"/>
        </w:rPr>
      </w:pPr>
      <w:r>
        <w:rPr>
          <w:rFonts w:ascii="Times New Roman;serif" w:hAnsi="Times New Roman;serif"/>
          <w:b/>
          <w:i w:val="false"/>
          <w:caps w:val="false"/>
          <w:smallCaps w:val="false"/>
          <w:strike w:val="false"/>
          <w:dstrike w:val="false"/>
          <w:sz w:val="20"/>
          <w:u w:val="none"/>
          <w:effect w:val="none"/>
        </w:rPr>
        <w:t>Valuation and Qualifying Accounts</w:t>
      </w:r>
    </w:p>
    <w:tbl>
      <w:tblPr>
        <w:tblW w:w="9941" w:type="dxa"/>
        <w:jc w:val="left"/>
        <w:tblInd w:w="0" w:type="dxa"/>
        <w:tblLayout w:type="fixed"/>
        <w:tblCellMar>
          <w:top w:w="28" w:type="dxa"/>
          <w:left w:w="28" w:type="dxa"/>
          <w:bottom w:w="28" w:type="dxa"/>
          <w:right w:w="28" w:type="dxa"/>
        </w:tblCellMar>
      </w:tblPr>
      <w:tblGrid>
        <w:gridCol w:w="3706"/>
        <w:gridCol w:w="109"/>
        <w:gridCol w:w="1021"/>
        <w:gridCol w:w="109"/>
        <w:gridCol w:w="1366"/>
        <w:gridCol w:w="109"/>
        <w:gridCol w:w="1246"/>
        <w:gridCol w:w="109"/>
        <w:gridCol w:w="901"/>
        <w:gridCol w:w="109"/>
        <w:gridCol w:w="1156"/>
      </w:tblGrid>
      <w:tr>
        <w:trPr/>
        <w:tc>
          <w:tcPr>
            <w:tcW w:w="3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706" w:type="dxa"/>
            <w:tcBorders/>
            <w:vAlign w:val="center"/>
          </w:tcPr>
          <w:p>
            <w:pPr>
              <w:pStyle w:val="TableContents"/>
              <w:bidi w:val="0"/>
              <w:spacing w:lineRule="atLeast" w:line="160" w:before="0" w:after="0"/>
              <w:jc w:val="left"/>
              <w:rPr>
                <w:rFonts w:ascii="Times New Roman;serif" w:hAnsi="Times New Roman;serif"/>
                <w:b w:val="false"/>
                <w:i/>
                <w:strike w:val="false"/>
                <w:dstrike w:val="false"/>
                <w:color w:val="000000"/>
                <w:sz w:val="16"/>
                <w:u w:val="none"/>
                <w:effect w:val="none"/>
              </w:rPr>
            </w:pPr>
            <w:r>
              <w:rPr>
                <w:rFonts w:ascii="Times New Roman;serif" w:hAnsi="Times New Roman;serif"/>
                <w:b w:val="false"/>
                <w:i/>
                <w:strike w:val="false"/>
                <w:dstrike w:val="false"/>
                <w:color w:val="000000"/>
                <w:sz w:val="16"/>
                <w:u w:val="none"/>
                <w:effect w:val="none"/>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Beginning of</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Period</w:t>
            </w:r>
          </w:p>
        </w:tc>
        <w:tc>
          <w:tcPr>
            <w:tcW w:w="109" w:type="dxa"/>
            <w:tcBorders/>
            <w:vAlign w:val="center"/>
          </w:tcPr>
          <w:p>
            <w:pPr>
              <w:pStyle w:val="TableContents"/>
              <w:bidi w:val="0"/>
              <w:spacing w:before="0" w:after="283"/>
              <w:jc w:val="left"/>
              <w:rPr>
                <w:sz w:val="4"/>
                <w:szCs w:val="4"/>
              </w:rPr>
            </w:pPr>
            <w:r>
              <w:rPr>
                <w:sz w:val="4"/>
                <w:szCs w:val="4"/>
              </w:rPr>
            </w:r>
          </w:p>
        </w:tc>
        <w:tc>
          <w:tcPr>
            <w:tcW w:w="136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Charged to Costs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and Expenses</w:t>
            </w:r>
          </w:p>
        </w:tc>
        <w:tc>
          <w:tcPr>
            <w:tcW w:w="109" w:type="dxa"/>
            <w:tcBorders/>
            <w:vAlign w:val="center"/>
          </w:tcPr>
          <w:p>
            <w:pPr>
              <w:pStyle w:val="TableContents"/>
              <w:bidi w:val="0"/>
              <w:spacing w:before="0" w:after="283"/>
              <w:jc w:val="left"/>
              <w:rPr>
                <w:sz w:val="4"/>
                <w:szCs w:val="4"/>
              </w:rPr>
            </w:pPr>
            <w:r>
              <w:rPr>
                <w:sz w:val="4"/>
                <w:szCs w:val="4"/>
              </w:rPr>
            </w:r>
          </w:p>
        </w:tc>
        <w:tc>
          <w:tcPr>
            <w:tcW w:w="124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Additions</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Charged to</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Other Accounts</w:t>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Deductions</w:t>
            </w:r>
          </w:p>
        </w:tc>
        <w:tc>
          <w:tcPr>
            <w:tcW w:w="109" w:type="dxa"/>
            <w:tcBorders/>
            <w:vAlign w:val="center"/>
          </w:tcPr>
          <w:p>
            <w:pPr>
              <w:pStyle w:val="TableContents"/>
              <w:bidi w:val="0"/>
              <w:spacing w:before="0" w:after="283"/>
              <w:jc w:val="left"/>
              <w:rPr>
                <w:sz w:val="4"/>
                <w:szCs w:val="4"/>
              </w:rPr>
            </w:pPr>
            <w:r>
              <w:rPr>
                <w:sz w:val="4"/>
                <w:szCs w:val="4"/>
              </w:rPr>
            </w:r>
          </w:p>
        </w:tc>
        <w:tc>
          <w:tcPr>
            <w:tcW w:w="1156" w:type="dxa"/>
            <w:tcBorders>
              <w:bottom w:val="single" w:sz="8" w:space="0" w:color="000000"/>
            </w:tcBorders>
            <w:tcMar>
              <w:top w:w="0" w:type="dxa"/>
              <w:left w:w="0" w:type="dxa"/>
              <w:right w:w="0" w:type="dxa"/>
            </w:tcMar>
            <w:vAlign w:val="center"/>
          </w:tcPr>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Balance</w:t>
            </w:r>
          </w:p>
          <w:p>
            <w:pPr>
              <w:pStyle w:val="TableContents"/>
              <w:bidi w:val="0"/>
              <w:spacing w:lineRule="atLeast" w:line="160"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End of Period</w:t>
            </w:r>
          </w:p>
        </w:tc>
      </w:tr>
      <w:tr>
        <w:trPr/>
        <w:tc>
          <w:tcPr>
            <w:tcW w:w="3706" w:type="dxa"/>
            <w:tcBorders/>
            <w:shd w:fill="CCEEFF" w:val="clear"/>
            <w:vAlign w:val="center"/>
          </w:tcPr>
          <w:p>
            <w:pPr>
              <w:pStyle w:val="TableContents"/>
              <w:bidi w:val="0"/>
              <w:spacing w:lineRule="atLeast" w:line="200"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Income Tax Valuation Allowance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top w:val="single" w:sz="8" w:space="0" w:color="000000"/>
            </w:tcBorders>
            <w:shd w:fill="CCEEFF" w:val="clear"/>
            <w:tcMar>
              <w:left w:w="0" w:type="dxa"/>
              <w:bottom w:w="0" w:type="dxa"/>
              <w:right w:w="0" w:type="dxa"/>
            </w:tcM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Years Ending 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$47.6</w:t>
            </w:r>
          </w:p>
        </w:tc>
      </w:tr>
      <w:tr>
        <w:trPr/>
        <w:tc>
          <w:tcPr>
            <w:tcW w:w="37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47.6</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0.0</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(0.1)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47.0</w:t>
            </w:r>
          </w:p>
        </w:tc>
      </w:tr>
      <w:tr>
        <w:trPr/>
        <w:tc>
          <w:tcPr>
            <w:tcW w:w="3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before="0" w:after="283"/>
              <w:jc w:val="left"/>
              <w:rPr>
                <w:sz w:val="4"/>
                <w:szCs w:val="4"/>
              </w:rPr>
            </w:pPr>
            <w:r>
              <w:rPr>
                <w:sz w:val="4"/>
                <w:szCs w:val="4"/>
              </w:rPr>
            </w:r>
          </w:p>
        </w:tc>
      </w:tr>
      <w:tr>
        <w:trPr/>
        <w:tc>
          <w:tcPr>
            <w:tcW w:w="3706" w:type="dxa"/>
            <w:tcBorders/>
            <w:shd w:fill="CCEEFF" w:val="clear"/>
            <w:vAlign w:val="center"/>
          </w:tcPr>
          <w:p>
            <w:pPr>
              <w:pStyle w:val="TableContents"/>
              <w:bidi w:val="0"/>
              <w:spacing w:lineRule="atLeast" w:line="200" w:before="0" w:after="0"/>
              <w:jc w:val="left"/>
              <w:rPr/>
            </w:pPr>
            <w:r>
              <w:rPr>
                <w:rFonts w:ascii="Times New Roman;serif" w:hAnsi="Times New Roman;serif"/>
                <w:b/>
                <w:i w:val="false"/>
                <w:caps w:val="false"/>
                <w:smallCaps w:val="false"/>
                <w:sz w:val="20"/>
              </w:rPr>
              <w:t>Other Allowances</w:t>
            </w:r>
            <w:r>
              <w:rPr>
                <w:rFonts w:ascii="Times New Roman;serif" w:hAnsi="Times New Roman;serif"/>
                <w:b/>
                <w:i w:val="false"/>
                <w:caps w:val="false"/>
                <w:smallCaps w:val="false"/>
                <w:sz w:val="10"/>
              </w:rPr>
              <w:t>(1)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Years Ending 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2023</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r>
      <w:tr>
        <w:trPr/>
        <w:tc>
          <w:tcPr>
            <w:tcW w:w="3706" w:type="dxa"/>
            <w:tcBorders/>
            <w:shd w:fill="FFFF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2024</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3.8</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36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46" w:type="dxa"/>
            <w:tcBorders/>
            <w:shd w:fill="FFFF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56" w:type="dxa"/>
            <w:tcBorders/>
            <w:shd w:fill="FFFF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r>
      <w:tr>
        <w:trPr/>
        <w:tc>
          <w:tcPr>
            <w:tcW w:w="3706" w:type="dxa"/>
            <w:tcBorders/>
            <w:shd w:fill="CCEEFF" w:val="clear"/>
            <w:vAlign w:val="center"/>
          </w:tcPr>
          <w:p>
            <w:pPr>
              <w:pStyle w:val="TableContents"/>
              <w:bidi w:val="0"/>
              <w:spacing w:lineRule="atLeast" w:line="200" w:before="0" w:after="0"/>
              <w:jc w:val="left"/>
              <w:rPr/>
            </w:pPr>
            <w:r>
              <w:rPr>
                <w:rFonts w:ascii="Times New Roman;serif" w:hAnsi="Times New Roman;serif"/>
                <w:b w:val="false"/>
                <w:i w:val="false"/>
                <w:caps w:val="false"/>
                <w:smallCaps w:val="false"/>
                <w:strike w:val="false"/>
                <w:dstrike w:val="false"/>
                <w:color w:val="000000"/>
                <w:sz w:val="20"/>
                <w:u w:val="none"/>
                <w:effect w:val="none"/>
              </w:rPr>
              <w:t>2025</w:t>
            </w:r>
            <w:r>
              <w:rPr>
                <w:caps w:val="false"/>
                <w:smallCaps w:val="false"/>
              </w:rPr>
              <w:t xml:space="preserve"> </w:t>
            </w:r>
            <w:r>
              <w:rPr>
                <w:rFonts w:ascii="Times New Roman;serif" w:hAnsi="Times New Roman;serif"/>
                <w:b w:val="false"/>
                <w:i w:val="false"/>
                <w:caps w:val="false"/>
                <w:smallCaps w:val="false"/>
                <w:strike w:val="false"/>
                <w:dstrike w:val="false"/>
                <w:color w:val="B4B4B4"/>
                <w:sz w:val="20"/>
                <w:u w:val="none"/>
                <w:effect w:val="none"/>
              </w:rPr>
              <w:t>. . . . . . . . . . . . . . . . . . . . . . . . . . . . . . . . . .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36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246" w:type="dxa"/>
            <w:tcBorders/>
            <w:shd w:fill="CCEEFF" w:val="clear"/>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56" w:type="dxa"/>
            <w:tcBorders/>
            <w:shd w:fill="CCEEFF" w:val="cle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6.4</w:t>
            </w:r>
          </w:p>
        </w:tc>
      </w:tr>
    </w:tbl>
    <w:p>
      <w:pPr>
        <w:pStyle w:val="TextBody"/>
        <w:bidi w:val="0"/>
        <w:spacing w:lineRule="atLeast" w:line="160" w:before="0" w:after="0"/>
        <w:jc w:val="left"/>
        <w:rPr>
          <w:rFonts w:ascii="Times New Roman;serif" w:hAnsi="Times New Roman;serif"/>
          <w:b w:val="false"/>
          <w:i w:val="false"/>
          <w:caps w:val="false"/>
          <w:smallCaps w:val="false"/>
          <w:strike w:val="false"/>
          <w:dstrike w:val="false"/>
          <w:sz w:val="16"/>
          <w:u w:val="none"/>
          <w:effect w:val="none"/>
        </w:rPr>
      </w:pPr>
      <w:r>
        <w:rPr>
          <w:rFonts w:ascii="Times New Roman;serif" w:hAnsi="Times New Roman;serif"/>
          <w:b w:val="false"/>
          <w:i w:val="false"/>
          <w:caps w:val="false"/>
          <w:smallCaps w:val="false"/>
          <w:strike w:val="false"/>
          <w:dstrike w:val="false"/>
          <w:sz w:val="16"/>
          <w:u w:val="none"/>
          <w:effect w:val="none"/>
        </w:rPr>
        <w:t>___________________________</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10"/>
          <w:u w:val="none"/>
          <w:effect w:val="none"/>
        </w:rPr>
        <w:t>(1)</w:t>
      </w:r>
      <w:r>
        <w:rPr>
          <w:rFonts w:ascii="Times New Roman;serif" w:hAnsi="Times New Roman;serif"/>
          <w:b w:val="false"/>
          <w:i w:val="false"/>
          <w:caps w:val="false"/>
          <w:smallCaps w:val="false"/>
          <w:strike w:val="false"/>
          <w:dstrike w:val="false"/>
          <w:sz w:val="20"/>
          <w:u w:val="none"/>
          <w:effect w:val="none"/>
        </w:rPr>
        <w:t xml:space="preserve">Other allowances represents reserves on notes received in connection with transfers of the Company’s interests in certain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 xml:space="preserve">Affiliates, as well as other receivable amounts, which the Company considered uncollectible.  Deductions represent the </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reversal of such reserves upon collection of the amounts due.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9.Changes in and Disagreements with Accountants on Accounting and Financial Disclosure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9A.Controls and Procedures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required by Rule 13a-15 of the Securities and Exchange Act of 1934, as amended (the “Exchange Act”), as of </w:t>
      </w:r>
    </w:p>
    <w:p>
      <w:pPr>
        <w:pStyle w:val="TextBody"/>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we carried out an evaluation under the supervision and with the participation of our management,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including our Chief Executive Officer and Chief Financial Officer, of the effectiveness of the design and operation of our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disclosure controls and procedures.  Based upon that evaluation, the Chief Executive Officer and Chief Financial Officer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concluded that, as of the end of the period covered by this report, our disclosure controls and procedures are effective in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ensuring that (i) information required to be disclosed by us in the reports we file or submit under the Exchange Act is recorded,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processed, summarized, and reported within the time periods specified in the SEC’s rules and forms, and (ii) such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is accumulated and communicated to our management, including our principal executive officer and principal financial officer,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as appropriate, to allow timely decisions regarding required disclosure.  In designing and evaluating our disclosure controls and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procedures, we recognize that any controls and procedures, no matter how well designed and operated, can provide only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reasonable assurance of achieving the desired control objectives, and our management necessarily was required to apply its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judgment in evaluating and implementing possible controls and procedures.  Our disclosure controls and procedures were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designed to provide reasonable assurance of achieving their stated objectives, and our principal executive officer and principal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financial officer concluded that our disclosure controls and procedures were effective at the reasonable assurance level.  We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review on an ongoing basis and document our disclosure controls and procedures, and our internal control over financial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reporting, and we may from time to time make changes in an effort to enhance their effectiveness and ensure that our systems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evolve with our business.  See “Management’s Report on Internal Control over Financial Reporting” in Item 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Our independent registered public accounting firm, PricewaterhouseCoopers LLP, has issued an audit report on our internal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control over financial reporting, which is included in Item 8.</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 change in our internal control over financial reporting (as defined in Rules 13a-15(f) and 15d-15(f) under the Exchange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Act) occurred during the fiscal quarter ended </w:t>
      </w:r>
      <w:r>
        <w:rPr>
          <w:rFonts w:ascii="Times New Roman;serif" w:hAnsi="Times New Roman;serif"/>
          <w:b w:val="false"/>
          <w:i w:val="false"/>
          <w:caps w:val="false"/>
          <w:smallCaps w:val="false"/>
          <w:strike w:val="false"/>
          <w:dstrike w:val="false"/>
          <w:sz w:val="20"/>
          <w:u w:val="none"/>
          <w:effect w:val="none"/>
        </w:rPr>
        <w:t>December 31, 2025</w:t>
      </w:r>
      <w:r>
        <w:rPr>
          <w:caps w:val="false"/>
          <w:smallCaps w:val="false"/>
          <w:sz w:val="24"/>
        </w:rPr>
        <w:t xml:space="preserve"> </w:t>
      </w:r>
      <w:r>
        <w:rPr>
          <w:rFonts w:ascii="Times New Roman;serif" w:hAnsi="Times New Roman;serif"/>
          <w:b w:val="false"/>
          <w:i w:val="false"/>
          <w:caps w:val="false"/>
          <w:smallCaps w:val="false"/>
          <w:sz w:val="20"/>
        </w:rPr>
        <w:t xml:space="preserve">that has materially affected, or is reasonably likely to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9B.Other Information</w:t>
      </w:r>
    </w:p>
    <w:p>
      <w:pPr>
        <w:pStyle w:val="TextBody"/>
        <w:bidi w:val="0"/>
        <w:spacing w:lineRule="atLeast" w:line="200" w:before="0" w:after="0"/>
        <w:jc w:val="left"/>
        <w:rPr>
          <w:rFonts w:ascii="Times New Roman;serif" w:hAnsi="Times New Roman;serif"/>
          <w:b w:val="false"/>
          <w:i w:val="false"/>
          <w:caps w:val="false"/>
          <w:smallCaps w:val="false"/>
          <w:strike w:val="false"/>
          <w:dstrike w:val="false"/>
          <w:sz w:val="20"/>
          <w:u w:val="none"/>
          <w:effect w:val="none"/>
        </w:rPr>
      </w:pPr>
      <w:r>
        <w:rPr>
          <w:rFonts w:ascii="Times New Roman;serif" w:hAnsi="Times New Roman;serif"/>
          <w:b w:val="false"/>
          <w:i w:val="false"/>
          <w:caps w:val="false"/>
          <w:smallCaps w:val="false"/>
          <w:strike w:val="false"/>
          <w:dstrike w:val="false"/>
          <w:sz w:val="20"/>
          <w:u w:val="none"/>
          <w:effect w:val="none"/>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9C.Disclosure Regarding Foreign Jurisdictions that Prevent Inspections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 applicable.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10.Directors, Executive Officers and Corporate Governance</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Information required by this Item will be set forth in our proxy statement for our </w:t>
      </w:r>
      <w:r>
        <w:rPr>
          <w:rFonts w:ascii="Times New Roman;serif" w:hAnsi="Times New Roman;serif"/>
          <w:b w:val="false"/>
          <w:i w:val="false"/>
          <w:caps w:val="false"/>
          <w:smallCaps w:val="false"/>
          <w:strike w:val="false"/>
          <w:dstrike w:val="false"/>
          <w:sz w:val="20"/>
          <w:u w:val="none"/>
          <w:effect w:val="none"/>
        </w:rPr>
        <w:t>2026</w:t>
      </w:r>
      <w:r>
        <w:rPr>
          <w:caps w:val="false"/>
          <w:smallCaps w:val="false"/>
          <w:sz w:val="24"/>
        </w:rPr>
        <w:t xml:space="preserve"> </w:t>
      </w:r>
      <w:r>
        <w:rPr>
          <w:rFonts w:ascii="Times New Roman;serif" w:hAnsi="Times New Roman;serif"/>
          <w:b w:val="false"/>
          <w:i w:val="false"/>
          <w:caps w:val="false"/>
          <w:smallCaps w:val="false"/>
          <w:sz w:val="20"/>
        </w:rPr>
        <w:t xml:space="preserve">annual meeting of stockholders (to </w:t>
      </w:r>
    </w:p>
    <w:p>
      <w:pPr>
        <w:pStyle w:val="TextBody"/>
        <w:bidi w:val="0"/>
        <w:spacing w:lineRule="atLeast" w:line="200" w:before="0" w:after="0"/>
        <w:jc w:val="left"/>
        <w:rPr>
          <w:sz w:val="24"/>
        </w:rPr>
      </w:pPr>
      <w:r>
        <w:rPr>
          <w:rFonts w:ascii="Times New Roman;serif" w:hAnsi="Times New Roman;serif"/>
          <w:b w:val="false"/>
          <w:i w:val="false"/>
          <w:caps w:val="false"/>
          <w:smallCaps w:val="false"/>
          <w:sz w:val="20"/>
        </w:rPr>
        <w:t xml:space="preserve">be filed within 120 days after </w:t>
      </w:r>
      <w:r>
        <w:rPr>
          <w:rFonts w:ascii="Times New Roman;serif" w:hAnsi="Times New Roman;serif"/>
          <w:b w:val="false"/>
          <w:i w:val="false"/>
          <w:caps w:val="false"/>
          <w:smallCaps w:val="false"/>
          <w:strike w:val="false"/>
          <w:dstrike w:val="false"/>
          <w:sz w:val="20"/>
          <w:u w:val="none"/>
          <w:effect w:val="none"/>
        </w:rPr>
        <w:t>December 31, 2025</w:t>
      </w:r>
      <w:r>
        <w:rPr>
          <w:rFonts w:ascii="Times New Roman;serif" w:hAnsi="Times New Roman;serif"/>
          <w:b w:val="false"/>
          <w:i w:val="false"/>
          <w:caps w:val="false"/>
          <w:smallCaps w:val="false"/>
          <w:sz w:val="20"/>
        </w:rPr>
        <w:t xml:space="preserve">) (the “Proxy Statement”) under the captions “Information Regarding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Nominees,” “Corporate Governance Matters and Meetings of the Board of Directors and Committees,” and “Information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Regarding Executive Officers of the Company,”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11.Executive Compensation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will be set forth in our Proxy Statement under the captions “Compensation Discussion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and Analysis,” (other than the disclosure under the caption “Pay Versus Performance Table”) “Executive Compensation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Tables,” and “Director Compensation,”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12.Security Ownership of Certain Beneficial Owners and Management and Related Stockholder Matters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will be set forth in our Proxy Statement under the captions “Equity Compensation Plan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Information” and “Security Ownership of Beneficial Owners and Management,”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13.Certain Relationships and Related Transactions, and Director Independence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will be set forth in our Proxy Statement under the captions “Information Regarding the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Nominees,” “Corporate Governance Matters and Meetings of the Board of Directors and Committees,” and “Related Person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Transactions,”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14.Principal Accountant Fees and Services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Information required by this Item will be set forth in our Proxy Statement under the caption “Principal Accountant Fees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and Services,” and is incorporated herein by reference.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15.Exhibit and Financial Statement Schedules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(a)(1) Financial Statements: See Item 8 of this Annual Report on Form 10-K.</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 Financial Statement Schedule required by Part II, Item 8 is included in Item 8:</w:t>
      </w:r>
    </w:p>
    <w:tbl>
      <w:tblPr>
        <w:tblW w:w="9201" w:type="dxa"/>
        <w:jc w:val="left"/>
        <w:tblInd w:w="0" w:type="dxa"/>
        <w:tblLayout w:type="fixed"/>
        <w:tblCellMar>
          <w:top w:w="28" w:type="dxa"/>
          <w:left w:w="28" w:type="dxa"/>
          <w:bottom w:w="28" w:type="dxa"/>
          <w:right w:w="28" w:type="dxa"/>
        </w:tblCellMar>
      </w:tblPr>
      <w:tblGrid>
        <w:gridCol w:w="8221"/>
        <w:gridCol w:w="109"/>
        <w:gridCol w:w="871"/>
      </w:tblGrid>
      <w:tr>
        <w:trPr/>
        <w:tc>
          <w:tcPr>
            <w:tcW w:w="8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8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Page No.</w:t>
            </w:r>
          </w:p>
        </w:tc>
      </w:tr>
      <w:tr>
        <w:trPr/>
        <w:tc>
          <w:tcPr>
            <w:tcW w:w="8221" w:type="dxa"/>
            <w:tcBorders/>
            <w:vAlign w:val="center"/>
          </w:tcPr>
          <w:p>
            <w:pPr>
              <w:pStyle w:val="TableContents"/>
              <w:bidi w:val="0"/>
              <w:spacing w:lineRule="atLeast" w:line="200" w:before="0" w:after="0"/>
              <w:jc w:val="left"/>
              <w:rPr>
                <w:sz w:val="24"/>
              </w:rPr>
            </w:pPr>
            <w:r>
              <w:rPr>
                <w:rFonts w:ascii="Times New Roman;serif" w:hAnsi="Times New Roman;serif"/>
                <w:b w:val="false"/>
                <w:i w:val="false"/>
                <w:caps w:val="false"/>
                <w:smallCaps w:val="false"/>
                <w:sz w:val="20"/>
              </w:rPr>
              <w:t xml:space="preserve">Schedule II - Valuation and Qualifying Accounts for the years ended December 31, </w:t>
            </w:r>
            <w:r>
              <w:rPr>
                <w:rFonts w:ascii="Times New Roman;serif" w:hAnsi="Times New Roman;serif"/>
                <w:b w:val="false"/>
                <w:i w:val="false"/>
                <w:caps w:val="false"/>
                <w:smallCaps w:val="false"/>
                <w:strike w:val="false"/>
                <w:dstrike w:val="false"/>
                <w:sz w:val="20"/>
                <w:u w:val="none"/>
                <w:effect w:val="none"/>
              </w:rPr>
              <w:t>2023</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trike w:val="false"/>
                <w:dstrike w:val="false"/>
                <w:sz w:val="20"/>
                <w:u w:val="none"/>
                <w:effect w:val="none"/>
              </w:rPr>
              <w:t>2024</w:t>
            </w:r>
            <w:r>
              <w:rPr>
                <w:rFonts w:ascii="Times New Roman;serif" w:hAnsi="Times New Roman;serif"/>
                <w:b w:val="false"/>
                <w:i w:val="false"/>
                <w:caps w:val="false"/>
                <w:smallCaps w:val="false"/>
                <w:sz w:val="20"/>
              </w:rPr>
              <w:t xml:space="preserve">, and </w:t>
            </w:r>
          </w:p>
          <w:p>
            <w:pPr>
              <w:pStyle w:val="TableContents"/>
              <w:bidi w:val="0"/>
              <w:spacing w:lineRule="atLeast" w:line="200" w:before="0" w:after="0"/>
              <w:jc w:val="left"/>
              <w:rPr>
                <w:sz w:val="24"/>
              </w:rPr>
            </w:pPr>
            <w:r>
              <w:rPr>
                <w:rFonts w:ascii="Times New Roman;serif" w:hAnsi="Times New Roman;serif"/>
                <w:b w:val="false"/>
                <w:i w:val="false"/>
                <w:caps w:val="false"/>
                <w:smallCaps w:val="false"/>
                <w:strike w:val="false"/>
                <w:dstrike w:val="false"/>
                <w:sz w:val="20"/>
                <w:u w:val="none"/>
                <w:effect w:val="none"/>
              </w:rPr>
              <w:t>2025</w:t>
            </w:r>
            <w:r>
              <w:rPr>
                <w:caps w:val="false"/>
                <w:smallCaps w:val="false"/>
                <w:sz w:val="24"/>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pPr>
            <w:hyperlink w:anchor="ibfa0590d77ac4199aa63edb4b8813f49_235">
              <w:r>
                <w:rPr>
                  <w:rStyle w:val="InternetLink"/>
                  <w:rFonts w:ascii="Times New Roman;serif" w:hAnsi="Times New Roman;serif"/>
                  <w:b w:val="false"/>
                  <w:i w:val="false"/>
                  <w:caps w:val="false"/>
                  <w:smallCaps w:val="false"/>
                  <w:color w:val="0000FF"/>
                  <w:sz w:val="20"/>
                  <w:u w:val="single"/>
                </w:rPr>
                <w:t>82</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 Exhibits: See the Exhibit Index below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Item 16.Form 10-K Summary</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None.</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Exhibit Index</w:t>
      </w:r>
    </w:p>
    <w:tbl>
      <w:tblPr>
        <w:tblW w:w="10187" w:type="dxa"/>
        <w:jc w:val="left"/>
        <w:tblInd w:w="0" w:type="dxa"/>
        <w:tblLayout w:type="fixed"/>
        <w:tblCellMar>
          <w:top w:w="28" w:type="dxa"/>
          <w:left w:w="28" w:type="dxa"/>
          <w:bottom w:w="28" w:type="dxa"/>
          <w:right w:w="28" w:type="dxa"/>
        </w:tblCellMar>
      </w:tblPr>
      <w:tblGrid>
        <w:gridCol w:w="586"/>
        <w:gridCol w:w="9601"/>
      </w:tblGrid>
      <w:tr>
        <w:trPr/>
        <w:tc>
          <w:tcPr>
            <w:tcW w:w="586" w:type="dxa"/>
            <w:tcBorders/>
            <w:vAlign w:val="center"/>
          </w:tcPr>
          <w:p>
            <w:pPr>
              <w:pStyle w:val="TableContents"/>
              <w:bidi w:val="0"/>
              <w:spacing w:before="0" w:after="283"/>
              <w:jc w:val="left"/>
              <w:rPr>
                <w:sz w:val="4"/>
                <w:szCs w:val="4"/>
              </w:rPr>
            </w:pPr>
            <w:r>
              <w:rPr>
                <w:sz w:val="4"/>
                <w:szCs w:val="4"/>
              </w:rPr>
            </w:r>
          </w:p>
        </w:tc>
        <w:tc>
          <w:tcPr>
            <w:tcW w:w="9601" w:type="dxa"/>
            <w:tcBorders/>
            <w:vAlign w:val="center"/>
          </w:tcPr>
          <w:p>
            <w:pPr>
              <w:pStyle w:val="TableContents"/>
              <w:bidi w:val="0"/>
              <w:spacing w:before="0" w:after="283"/>
              <w:jc w:val="left"/>
              <w:rPr>
                <w:sz w:val="4"/>
                <w:szCs w:val="4"/>
              </w:rPr>
            </w:pPr>
            <w:r>
              <w:rPr>
                <w:sz w:val="4"/>
                <w:szCs w:val="4"/>
              </w:rPr>
            </w:r>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w:t>
            </w:r>
          </w:p>
        </w:tc>
        <w:tc>
          <w:tcPr>
            <w:tcW w:w="9601" w:type="dxa"/>
            <w:tcBorders/>
            <w:vAlign w:val="center"/>
          </w:tcPr>
          <w:p>
            <w:pPr>
              <w:pStyle w:val="TableContents"/>
              <w:bidi w:val="0"/>
              <w:spacing w:lineRule="atLeast" w:line="200" w:before="0" w:after="0"/>
              <w:jc w:val="left"/>
              <w:rPr/>
            </w:pPr>
            <w:hyperlink r:id="rId4">
              <w:r>
                <w:rPr>
                  <w:rStyle w:val="InternetLink"/>
                  <w:rFonts w:ascii="Times New Roman;serif" w:hAnsi="Times New Roman;serif"/>
                  <w:b w:val="false"/>
                  <w:i w:val="false"/>
                  <w:caps w:val="false"/>
                  <w:smallCaps w:val="false"/>
                  <w:color w:val="0000FF"/>
                  <w:sz w:val="20"/>
                  <w:u w:val="single"/>
                </w:rPr>
                <w:t xml:space="preserve">Amended and Restated Certificate of Incorporation (incorporated by reference to the Company’s Registration </w:t>
              </w:r>
            </w:hyperlink>
          </w:p>
          <w:p>
            <w:pPr>
              <w:pStyle w:val="TableContents"/>
              <w:bidi w:val="0"/>
              <w:spacing w:lineRule="atLeast" w:line="200" w:before="0" w:after="0"/>
              <w:jc w:val="left"/>
              <w:rPr/>
            </w:pPr>
            <w:hyperlink r:id="rId5">
              <w:r>
                <w:rPr>
                  <w:rStyle w:val="InternetLink"/>
                  <w:rFonts w:ascii="Times New Roman;serif" w:hAnsi="Times New Roman;serif"/>
                  <w:b w:val="false"/>
                  <w:i w:val="false"/>
                  <w:caps w:val="false"/>
                  <w:smallCaps w:val="false"/>
                  <w:color w:val="0000FF"/>
                  <w:sz w:val="20"/>
                  <w:u w:val="single"/>
                </w:rPr>
                <w:t xml:space="preserve">Statement on Form S-1/A (No. 333-34679), filed October 29, 1997) </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w:t>
            </w:r>
          </w:p>
        </w:tc>
        <w:tc>
          <w:tcPr>
            <w:tcW w:w="9601" w:type="dxa"/>
            <w:tcBorders/>
            <w:vAlign w:val="center"/>
          </w:tcPr>
          <w:p>
            <w:pPr>
              <w:pStyle w:val="TableContents"/>
              <w:bidi w:val="0"/>
              <w:spacing w:lineRule="atLeast" w:line="200" w:before="0" w:after="0"/>
              <w:jc w:val="left"/>
              <w:rPr/>
            </w:pPr>
            <w:hyperlink r:id="rId6">
              <w:r>
                <w:rPr>
                  <w:rStyle w:val="InternetLink"/>
                  <w:rFonts w:ascii="Times New Roman;serif" w:hAnsi="Times New Roman;serif"/>
                  <w:b w:val="false"/>
                  <w:i w:val="false"/>
                  <w:caps w:val="false"/>
                  <w:smallCaps w:val="false"/>
                  <w:color w:val="0000FF"/>
                  <w:sz w:val="20"/>
                  <w:u w:val="single"/>
                </w:rPr>
                <w:t xml:space="preserve">Amendment to Amended and Restated Certificate of Incorporation (incorporated by reference to the Company’s </w:t>
              </w:r>
            </w:hyperlink>
          </w:p>
          <w:p>
            <w:pPr>
              <w:pStyle w:val="TableContents"/>
              <w:bidi w:val="0"/>
              <w:spacing w:lineRule="atLeast" w:line="200" w:before="0" w:after="0"/>
              <w:jc w:val="left"/>
              <w:rPr/>
            </w:pPr>
            <w:hyperlink r:id="rId7">
              <w:r>
                <w:rPr>
                  <w:rStyle w:val="InternetLink"/>
                  <w:rFonts w:ascii="Times New Roman;serif" w:hAnsi="Times New Roman;serif"/>
                  <w:b w:val="false"/>
                  <w:i w:val="false"/>
                  <w:caps w:val="false"/>
                  <w:smallCaps w:val="false"/>
                  <w:color w:val="0000FF"/>
                  <w:sz w:val="20"/>
                  <w:u w:val="single"/>
                </w:rPr>
                <w:t>Registration Statement on Form S-8 (No. 333-129748), filed November 16, 2005)</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3.3</w:t>
            </w:r>
          </w:p>
        </w:tc>
        <w:tc>
          <w:tcPr>
            <w:tcW w:w="9601"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"https://www.sec.gov/Archives/edgar/data/1004434/000110465906028490/a06-9042_1def14a.htm" \l "Appendixc_132928"</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 xml:space="preserve">Amendment to Amended and Restated Certificate of Incorporation (incorporated by reference to the Company’s </w:t>
            </w:r>
            <w:r>
              <w:rPr>
                <w:rStyle w:val="InternetLink"/>
                <w:smallCaps w:val="false"/>
                <w:caps w:val="false"/>
                <w:sz w:val="20"/>
                <w:i w:val="false"/>
                <w:u w:val="single"/>
                <w:b w:val="false"/>
                <w:rFonts w:ascii="Times New Roman;serif" w:hAnsi="Times New Roman;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"https://www.sec.gov/Archives/edgar/data/1004434/000110465906028490/a06-9042_1def14a.htm" \l "Appendixc_132928"</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Proxy Statement on Schedule 14A (No. 001-13459), filed April 28, 2006)</w:t>
            </w:r>
            <w:r>
              <w:rPr>
                <w:rStyle w:val="InternetLink"/>
                <w:smallCaps w:val="false"/>
                <w:caps w:val="false"/>
                <w:sz w:val="20"/>
                <w:i w:val="false"/>
                <w:u w:val="single"/>
                <w:b w:val="false"/>
                <w:rFonts w:ascii="Times New Roman;serif" w:hAnsi="Times New Roman;serif"/>
                <w:color w:val="0000FF"/>
              </w:rPr>
              <w:fldChar w:fldCharType="end"/>
            </w:r>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3.4</w:t>
            </w:r>
          </w:p>
        </w:tc>
        <w:tc>
          <w:tcPr>
            <w:tcW w:w="9601" w:type="dxa"/>
            <w:tcBorders/>
            <w:vAlign w:val="center"/>
          </w:tcPr>
          <w:p>
            <w:pPr>
              <w:pStyle w:val="TableContents"/>
              <w:bidi w:val="0"/>
              <w:spacing w:lineRule="atLeast" w:line="200" w:before="0" w:after="0"/>
              <w:jc w:val="left"/>
              <w:rPr/>
            </w:pPr>
            <w:hyperlink r:id="rId8">
              <w:r>
                <w:rPr>
                  <w:rStyle w:val="InternetLink"/>
                  <w:rFonts w:ascii="Times New Roman;serif" w:hAnsi="Times New Roman;serif"/>
                  <w:b w:val="false"/>
                  <w:i w:val="false"/>
                  <w:caps w:val="false"/>
                  <w:smallCaps w:val="false"/>
                  <w:color w:val="0000FF"/>
                  <w:sz w:val="20"/>
                  <w:u w:val="single"/>
                </w:rPr>
                <w:t xml:space="preserve">Amendment to Amended and Restated Certificate of Incorporation (incorporated by reference to the Company’s </w:t>
              </w:r>
            </w:hyperlink>
          </w:p>
          <w:p>
            <w:pPr>
              <w:pStyle w:val="TableContents"/>
              <w:bidi w:val="0"/>
              <w:spacing w:lineRule="atLeast" w:line="200" w:before="0" w:after="0"/>
              <w:jc w:val="left"/>
              <w:rPr/>
            </w:pPr>
            <w:hyperlink r:id="rId9">
              <w:r>
                <w:rPr>
                  <w:rStyle w:val="InternetLink"/>
                  <w:rFonts w:ascii="Times New Roman;serif" w:hAnsi="Times New Roman;serif"/>
                  <w:b w:val="false"/>
                  <w:i w:val="false"/>
                  <w:caps w:val="false"/>
                  <w:smallCaps w:val="false"/>
                  <w:color w:val="0000FF"/>
                  <w:sz w:val="20"/>
                  <w:u w:val="single"/>
                </w:rPr>
                <w:t>Quarterly Report on Form 10-Q (No. 001-13459), filed August 3, 2017)</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3.5</w:t>
            </w:r>
          </w:p>
        </w:tc>
        <w:tc>
          <w:tcPr>
            <w:tcW w:w="9601" w:type="dxa"/>
            <w:tcBorders/>
            <w:vAlign w:val="center"/>
          </w:tcPr>
          <w:p>
            <w:pPr>
              <w:pStyle w:val="TableContents"/>
              <w:bidi w:val="0"/>
              <w:spacing w:lineRule="atLeast" w:line="200" w:before="0" w:after="0"/>
              <w:jc w:val="left"/>
              <w:rPr/>
            </w:pPr>
            <w:hyperlink r:id="rId10">
              <w:r>
                <w:rPr>
                  <w:rStyle w:val="InternetLink"/>
                  <w:rFonts w:ascii="Times New Roman;serif" w:hAnsi="Times New Roman;serif"/>
                  <w:b w:val="false"/>
                  <w:i w:val="false"/>
                  <w:caps w:val="false"/>
                  <w:smallCaps w:val="false"/>
                  <w:color w:val="0000FF"/>
                  <w:sz w:val="20"/>
                  <w:u w:val="single"/>
                </w:rPr>
                <w:t xml:space="preserve">Amended and Restated By-laws (incorporated by reference to the Company’s Quarterly Report on Form 10-Q (No. </w:t>
              </w:r>
            </w:hyperlink>
          </w:p>
          <w:p>
            <w:pPr>
              <w:pStyle w:val="TableContents"/>
              <w:bidi w:val="0"/>
              <w:spacing w:lineRule="atLeast" w:line="200" w:before="0" w:after="0"/>
              <w:jc w:val="left"/>
              <w:rPr/>
            </w:pPr>
            <w:hyperlink r:id="rId11">
              <w:r>
                <w:rPr>
                  <w:rStyle w:val="InternetLink"/>
                  <w:rFonts w:ascii="Times New Roman;serif" w:hAnsi="Times New Roman;serif"/>
                  <w:b w:val="false"/>
                  <w:i w:val="false"/>
                  <w:caps w:val="false"/>
                  <w:smallCaps w:val="false"/>
                  <w:color w:val="0000FF"/>
                  <w:sz w:val="20"/>
                  <w:u w:val="single"/>
                </w:rPr>
                <w:t>001-13459), filed November 7, 2022)</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9601" w:type="dxa"/>
            <w:tcBorders/>
            <w:vAlign w:val="center"/>
          </w:tcPr>
          <w:p>
            <w:pPr>
              <w:pStyle w:val="TableContents"/>
              <w:bidi w:val="0"/>
              <w:spacing w:lineRule="atLeast" w:line="200" w:before="0" w:after="0"/>
              <w:jc w:val="left"/>
              <w:rPr/>
            </w:pPr>
            <w:hyperlink r:id="rId12">
              <w:r>
                <w:rPr>
                  <w:rStyle w:val="InternetLink"/>
                  <w:rFonts w:ascii="Times New Roman;serif" w:hAnsi="Times New Roman;serif"/>
                  <w:b w:val="false"/>
                  <w:i w:val="false"/>
                  <w:caps w:val="false"/>
                  <w:smallCaps w:val="false"/>
                  <w:color w:val="0000FF"/>
                  <w:sz w:val="20"/>
                  <w:u w:val="single"/>
                </w:rPr>
                <w:t xml:space="preserve">Indenture for Junior Subordinated Notes, dated as of March 27, 2019, between the Company, as issuer, and U.S. </w:t>
              </w:r>
            </w:hyperlink>
          </w:p>
          <w:p>
            <w:pPr>
              <w:pStyle w:val="TableContents"/>
              <w:bidi w:val="0"/>
              <w:spacing w:lineRule="atLeast" w:line="200" w:before="0" w:after="0"/>
              <w:jc w:val="left"/>
              <w:rPr/>
            </w:pPr>
            <w:hyperlink r:id="rId13">
              <w:r>
                <w:rPr>
                  <w:rStyle w:val="InternetLink"/>
                  <w:rFonts w:ascii="Times New Roman;serif" w:hAnsi="Times New Roman;serif"/>
                  <w:b w:val="false"/>
                  <w:i w:val="false"/>
                  <w:caps w:val="false"/>
                  <w:smallCaps w:val="false"/>
                  <w:color w:val="0000FF"/>
                  <w:sz w:val="20"/>
                  <w:u w:val="single"/>
                </w:rPr>
                <w:t xml:space="preserve">Bank National Association, as trustee (incorporated by reference to the Company’s Current Report on Form 8-K </w:t>
              </w:r>
            </w:hyperlink>
          </w:p>
          <w:p>
            <w:pPr>
              <w:pStyle w:val="TableContents"/>
              <w:bidi w:val="0"/>
              <w:spacing w:lineRule="atLeast" w:line="200" w:before="0" w:after="0"/>
              <w:jc w:val="left"/>
              <w:rPr/>
            </w:pPr>
            <w:hyperlink r:id="rId14">
              <w:r>
                <w:rPr>
                  <w:rStyle w:val="InternetLink"/>
                  <w:rFonts w:ascii="Times New Roman;serif" w:hAnsi="Times New Roman;serif"/>
                  <w:b w:val="false"/>
                  <w:i w:val="false"/>
                  <w:caps w:val="false"/>
                  <w:smallCaps w:val="false"/>
                  <w:color w:val="0000FF"/>
                  <w:sz w:val="20"/>
                  <w:u w:val="single"/>
                </w:rPr>
                <w:t>(No. 001-13459), filed March 27, 2019)</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9601" w:type="dxa"/>
            <w:tcBorders/>
            <w:vAlign w:val="center"/>
          </w:tcPr>
          <w:p>
            <w:pPr>
              <w:pStyle w:val="TableContents"/>
              <w:bidi w:val="0"/>
              <w:spacing w:lineRule="atLeast" w:line="200" w:before="0" w:after="0"/>
              <w:jc w:val="left"/>
              <w:rPr/>
            </w:pPr>
            <w:hyperlink r:id="rId15">
              <w:r>
                <w:rPr>
                  <w:rStyle w:val="InternetLink"/>
                  <w:rFonts w:ascii="Times New Roman;serif" w:hAnsi="Times New Roman;serif"/>
                  <w:b w:val="false"/>
                  <w:i w:val="false"/>
                  <w:caps w:val="false"/>
                  <w:smallCaps w:val="false"/>
                  <w:color w:val="0000FF"/>
                  <w:sz w:val="20"/>
                  <w:u w:val="single"/>
                </w:rPr>
                <w:t xml:space="preserve">First Supplemental Indenture related to the 5.875% Junior Subordinated Notes due 2059, dated as of March 27, </w:t>
              </w:r>
            </w:hyperlink>
          </w:p>
          <w:p>
            <w:pPr>
              <w:pStyle w:val="TableContents"/>
              <w:bidi w:val="0"/>
              <w:spacing w:lineRule="atLeast" w:line="200" w:before="0" w:after="0"/>
              <w:jc w:val="left"/>
              <w:rPr/>
            </w:pPr>
            <w:hyperlink r:id="rId16">
              <w:r>
                <w:rPr>
                  <w:rStyle w:val="InternetLink"/>
                  <w:rFonts w:ascii="Times New Roman;serif" w:hAnsi="Times New Roman;serif"/>
                  <w:b w:val="false"/>
                  <w:i w:val="false"/>
                  <w:caps w:val="false"/>
                  <w:smallCaps w:val="false"/>
                  <w:color w:val="0000FF"/>
                  <w:sz w:val="20"/>
                  <w:u w:val="single"/>
                </w:rPr>
                <w:t xml:space="preserve">2019, between the Company, as issuer, and U.S. Bank National Association, as trustee, including the form of Global </w:t>
              </w:r>
            </w:hyperlink>
          </w:p>
          <w:p>
            <w:pPr>
              <w:pStyle w:val="TableContents"/>
              <w:bidi w:val="0"/>
              <w:spacing w:lineRule="atLeast" w:line="200" w:before="0" w:after="0"/>
              <w:jc w:val="left"/>
              <w:rPr/>
            </w:pPr>
            <w:hyperlink r:id="rId17">
              <w:r>
                <w:rPr>
                  <w:rStyle w:val="InternetLink"/>
                  <w:rFonts w:ascii="Times New Roman;serif" w:hAnsi="Times New Roman;serif"/>
                  <w:b w:val="false"/>
                  <w:i w:val="false"/>
                  <w:caps w:val="false"/>
                  <w:smallCaps w:val="false"/>
                  <w:color w:val="0000FF"/>
                  <w:sz w:val="20"/>
                  <w:u w:val="single"/>
                </w:rPr>
                <w:t xml:space="preserve">Note attached as Annex A thereto (incorporated by reference to the Company’s Current Report on Form 8-K (No. </w:t>
              </w:r>
            </w:hyperlink>
          </w:p>
          <w:p>
            <w:pPr>
              <w:pStyle w:val="TableContents"/>
              <w:bidi w:val="0"/>
              <w:spacing w:lineRule="atLeast" w:line="200" w:before="0" w:after="0"/>
              <w:jc w:val="left"/>
              <w:rPr/>
            </w:pPr>
            <w:hyperlink r:id="rId18">
              <w:r>
                <w:rPr>
                  <w:rStyle w:val="InternetLink"/>
                  <w:rFonts w:ascii="Times New Roman;serif" w:hAnsi="Times New Roman;serif"/>
                  <w:b w:val="false"/>
                  <w:i w:val="false"/>
                  <w:caps w:val="false"/>
                  <w:smallCaps w:val="false"/>
                  <w:color w:val="0000FF"/>
                  <w:sz w:val="20"/>
                  <w:u w:val="single"/>
                </w:rPr>
                <w:t>001-13459), filed March 27, 2019)</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9601" w:type="dxa"/>
            <w:tcBorders/>
            <w:vAlign w:val="center"/>
          </w:tcPr>
          <w:p>
            <w:pPr>
              <w:pStyle w:val="TableContents"/>
              <w:bidi w:val="0"/>
              <w:spacing w:lineRule="atLeast" w:line="200" w:before="0" w:after="0"/>
              <w:jc w:val="left"/>
              <w:rPr/>
            </w:pPr>
            <w:hyperlink r:id="rId19">
              <w:r>
                <w:rPr>
                  <w:rStyle w:val="InternetLink"/>
                  <w:rFonts w:ascii="Times New Roman;serif" w:hAnsi="Times New Roman;serif"/>
                  <w:b w:val="false"/>
                  <w:i w:val="false"/>
                  <w:caps w:val="false"/>
                  <w:smallCaps w:val="false"/>
                  <w:color w:val="0000FF"/>
                  <w:sz w:val="20"/>
                  <w:u w:val="single"/>
                </w:rPr>
                <w:t xml:space="preserve">Second Supplemental Indenture related to the 4.750% Junior Subordinated Notes due 2060, dated as of September </w:t>
              </w:r>
            </w:hyperlink>
          </w:p>
          <w:p>
            <w:pPr>
              <w:pStyle w:val="TableContents"/>
              <w:bidi w:val="0"/>
              <w:spacing w:lineRule="atLeast" w:line="200" w:before="0" w:after="0"/>
              <w:jc w:val="left"/>
              <w:rPr/>
            </w:pPr>
            <w:hyperlink r:id="rId20">
              <w:r>
                <w:rPr>
                  <w:rStyle w:val="InternetLink"/>
                  <w:rFonts w:ascii="Times New Roman;serif" w:hAnsi="Times New Roman;serif"/>
                  <w:b w:val="false"/>
                  <w:i w:val="false"/>
                  <w:caps w:val="false"/>
                  <w:smallCaps w:val="false"/>
                  <w:color w:val="0000FF"/>
                  <w:sz w:val="20"/>
                  <w:u w:val="single"/>
                </w:rPr>
                <w:t xml:space="preserve">23, 2020, between the Company, as issuer, and U.S. Bank National Association, as trustee, including the form of </w:t>
              </w:r>
            </w:hyperlink>
          </w:p>
          <w:p>
            <w:pPr>
              <w:pStyle w:val="TableContents"/>
              <w:bidi w:val="0"/>
              <w:spacing w:lineRule="atLeast" w:line="200" w:before="0" w:after="0"/>
              <w:jc w:val="left"/>
              <w:rPr/>
            </w:pPr>
            <w:hyperlink r:id="rId21">
              <w:r>
                <w:rPr>
                  <w:rStyle w:val="InternetLink"/>
                  <w:rFonts w:ascii="Times New Roman;serif" w:hAnsi="Times New Roman;serif"/>
                  <w:b w:val="false"/>
                  <w:i w:val="false"/>
                  <w:caps w:val="false"/>
                  <w:smallCaps w:val="false"/>
                  <w:color w:val="0000FF"/>
                  <w:sz w:val="20"/>
                  <w:u w:val="single"/>
                </w:rPr>
                <w:t xml:space="preserve">Global Note attached as Annex A thereto (incorporated by reference to the Company’s Current Report on Form 8-K </w:t>
              </w:r>
            </w:hyperlink>
          </w:p>
          <w:p>
            <w:pPr>
              <w:pStyle w:val="TableContents"/>
              <w:bidi w:val="0"/>
              <w:spacing w:lineRule="atLeast" w:line="200" w:before="0" w:after="0"/>
              <w:jc w:val="left"/>
              <w:rPr/>
            </w:pPr>
            <w:hyperlink r:id="rId22">
              <w:r>
                <w:rPr>
                  <w:rStyle w:val="InternetLink"/>
                  <w:rFonts w:ascii="Times New Roman;serif" w:hAnsi="Times New Roman;serif"/>
                  <w:b w:val="false"/>
                  <w:i w:val="false"/>
                  <w:caps w:val="false"/>
                  <w:smallCaps w:val="false"/>
                  <w:color w:val="0000FF"/>
                  <w:sz w:val="20"/>
                  <w:u w:val="single"/>
                </w:rPr>
                <w:t>(No. 001-13459), filed September 23, 2020)</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4.4</w:t>
            </w:r>
          </w:p>
        </w:tc>
        <w:tc>
          <w:tcPr>
            <w:tcW w:w="9601" w:type="dxa"/>
            <w:tcBorders/>
            <w:vAlign w:val="center"/>
          </w:tcPr>
          <w:p>
            <w:pPr>
              <w:pStyle w:val="TableContents"/>
              <w:bidi w:val="0"/>
              <w:spacing w:lineRule="atLeast" w:line="200" w:before="0" w:after="0"/>
              <w:jc w:val="left"/>
              <w:rPr/>
            </w:pPr>
            <w:hyperlink r:id="rId23">
              <w:r>
                <w:rPr>
                  <w:rStyle w:val="InternetLink"/>
                  <w:rFonts w:ascii="Times New Roman;serif" w:hAnsi="Times New Roman;serif"/>
                  <w:b w:val="false"/>
                  <w:i w:val="false"/>
                  <w:caps w:val="false"/>
                  <w:smallCaps w:val="false"/>
                  <w:color w:val="0000FF"/>
                  <w:sz w:val="20"/>
                  <w:u w:val="single"/>
                </w:rPr>
                <w:t xml:space="preserve">Third Supplemental Indenture related to the 4.200% Junior Subordinated Notes due 2061, dated as of July 13, 2021, </w:t>
              </w:r>
            </w:hyperlink>
          </w:p>
          <w:p>
            <w:pPr>
              <w:pStyle w:val="TableContents"/>
              <w:bidi w:val="0"/>
              <w:spacing w:lineRule="atLeast" w:line="200" w:before="0" w:after="0"/>
              <w:jc w:val="left"/>
              <w:rPr/>
            </w:pPr>
            <w:hyperlink r:id="rId24">
              <w:r>
                <w:rPr>
                  <w:rStyle w:val="InternetLink"/>
                  <w:rFonts w:ascii="Times New Roman;serif" w:hAnsi="Times New Roman;serif"/>
                  <w:b w:val="false"/>
                  <w:i w:val="false"/>
                  <w:caps w:val="false"/>
                  <w:smallCaps w:val="false"/>
                  <w:color w:val="0000FF"/>
                  <w:sz w:val="20"/>
                  <w:u w:val="single"/>
                </w:rPr>
                <w:t xml:space="preserve">between the Company, as issuer, and U.S. Bank National Association, as trustee, including the form of Global Note </w:t>
              </w:r>
            </w:hyperlink>
          </w:p>
          <w:p>
            <w:pPr>
              <w:pStyle w:val="TableContents"/>
              <w:bidi w:val="0"/>
              <w:spacing w:lineRule="atLeast" w:line="200" w:before="0" w:after="0"/>
              <w:jc w:val="left"/>
              <w:rPr/>
            </w:pPr>
            <w:hyperlink r:id="rId25">
              <w:r>
                <w:rPr>
                  <w:rStyle w:val="InternetLink"/>
                  <w:rFonts w:ascii="Times New Roman;serif" w:hAnsi="Times New Roman;serif"/>
                  <w:b w:val="false"/>
                  <w:i w:val="false"/>
                  <w:caps w:val="false"/>
                  <w:smallCaps w:val="false"/>
                  <w:color w:val="0000FF"/>
                  <w:sz w:val="20"/>
                  <w:u w:val="single"/>
                </w:rPr>
                <w:t xml:space="preserve">attached as Annex A thereto (incorporated by reference to the Company’s Current Report on Form 8-K (No. </w:t>
              </w:r>
            </w:hyperlink>
          </w:p>
          <w:p>
            <w:pPr>
              <w:pStyle w:val="TableContents"/>
              <w:bidi w:val="0"/>
              <w:spacing w:lineRule="atLeast" w:line="200" w:before="0" w:after="0"/>
              <w:jc w:val="left"/>
              <w:rPr/>
            </w:pPr>
            <w:hyperlink r:id="rId26">
              <w:r>
                <w:rPr>
                  <w:rStyle w:val="InternetLink"/>
                  <w:rFonts w:ascii="Times New Roman;serif" w:hAnsi="Times New Roman;serif"/>
                  <w:b w:val="false"/>
                  <w:i w:val="false"/>
                  <w:caps w:val="false"/>
                  <w:smallCaps w:val="false"/>
                  <w:color w:val="0000FF"/>
                  <w:sz w:val="20"/>
                  <w:u w:val="single"/>
                </w:rPr>
                <w:t xml:space="preserve">001-13459), filed July 13, 2021) </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4.5</w:t>
            </w:r>
          </w:p>
        </w:tc>
        <w:tc>
          <w:tcPr>
            <w:tcW w:w="9601" w:type="dxa"/>
            <w:tcBorders/>
            <w:vAlign w:val="center"/>
          </w:tcPr>
          <w:p>
            <w:pPr>
              <w:pStyle w:val="TableContents"/>
              <w:bidi w:val="0"/>
              <w:spacing w:lineRule="atLeast" w:line="200" w:before="0" w:after="0"/>
              <w:jc w:val="left"/>
              <w:rPr/>
            </w:pPr>
            <w:hyperlink r:id="rId27">
              <w:r>
                <w:rPr>
                  <w:rStyle w:val="InternetLink"/>
                  <w:rFonts w:ascii="Times New Roman;serif" w:hAnsi="Times New Roman;serif"/>
                  <w:b w:val="false"/>
                  <w:i w:val="false"/>
                  <w:caps w:val="false"/>
                  <w:smallCaps w:val="false"/>
                  <w:color w:val="0000FF"/>
                  <w:sz w:val="20"/>
                  <w:u w:val="single"/>
                </w:rPr>
                <w:t xml:space="preserve">Fourth Supplemental Indenture related to the 6.750% Junior Subordinated Notes due 2064, dated as of March 20, </w:t>
              </w:r>
            </w:hyperlink>
          </w:p>
          <w:p>
            <w:pPr>
              <w:pStyle w:val="TableContents"/>
              <w:bidi w:val="0"/>
              <w:spacing w:lineRule="atLeast" w:line="200" w:before="0" w:after="0"/>
              <w:jc w:val="left"/>
              <w:rPr/>
            </w:pPr>
            <w:hyperlink r:id="rId28">
              <w:r>
                <w:rPr>
                  <w:rStyle w:val="InternetLink"/>
                  <w:rFonts w:ascii="Times New Roman;serif" w:hAnsi="Times New Roman;serif"/>
                  <w:b w:val="false"/>
                  <w:i w:val="false"/>
                  <w:caps w:val="false"/>
                  <w:smallCaps w:val="false"/>
                  <w:color w:val="0000FF"/>
                  <w:sz w:val="20"/>
                  <w:u w:val="single"/>
                </w:rPr>
                <w:t xml:space="preserve">2024, between the Company, as issuer, and U.S. Bank Trust Company, National Association, as trustee, including </w:t>
              </w:r>
            </w:hyperlink>
          </w:p>
          <w:p>
            <w:pPr>
              <w:pStyle w:val="TableContents"/>
              <w:bidi w:val="0"/>
              <w:spacing w:lineRule="atLeast" w:line="200" w:before="0" w:after="0"/>
              <w:jc w:val="left"/>
              <w:rPr/>
            </w:pPr>
            <w:hyperlink r:id="rId29">
              <w:r>
                <w:rPr>
                  <w:rStyle w:val="InternetLink"/>
                  <w:rFonts w:ascii="Times New Roman;serif" w:hAnsi="Times New Roman;serif"/>
                  <w:b w:val="false"/>
                  <w:i w:val="false"/>
                  <w:caps w:val="false"/>
                  <w:smallCaps w:val="false"/>
                  <w:color w:val="0000FF"/>
                  <w:sz w:val="20"/>
                  <w:u w:val="single"/>
                </w:rPr>
                <w:t xml:space="preserve">the form of Global Note attached as Annex A thereto (incorporated by reference to the Company’s Current Report </w:t>
              </w:r>
            </w:hyperlink>
          </w:p>
          <w:p>
            <w:pPr>
              <w:pStyle w:val="TableContents"/>
              <w:bidi w:val="0"/>
              <w:spacing w:lineRule="atLeast" w:line="200" w:before="0" w:after="0"/>
              <w:jc w:val="left"/>
              <w:rPr/>
            </w:pPr>
            <w:hyperlink r:id="rId30">
              <w:r>
                <w:rPr>
                  <w:rStyle w:val="InternetLink"/>
                  <w:rFonts w:ascii="Times New Roman;serif" w:hAnsi="Times New Roman;serif"/>
                  <w:b w:val="false"/>
                  <w:i w:val="false"/>
                  <w:caps w:val="false"/>
                  <w:smallCaps w:val="false"/>
                  <w:color w:val="0000FF"/>
                  <w:sz w:val="20"/>
                  <w:u w:val="single"/>
                </w:rPr>
                <w:t>on Form 8-K (No. 001-13459), filed March 20, 2024)</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4.6</w:t>
            </w:r>
          </w:p>
        </w:tc>
        <w:tc>
          <w:tcPr>
            <w:tcW w:w="9601" w:type="dxa"/>
            <w:tcBorders/>
            <w:vAlign w:val="center"/>
          </w:tcPr>
          <w:p>
            <w:pPr>
              <w:pStyle w:val="TableContents"/>
              <w:bidi w:val="0"/>
              <w:spacing w:lineRule="atLeast" w:line="200" w:before="0" w:after="0"/>
              <w:jc w:val="left"/>
              <w:rPr/>
            </w:pPr>
            <w:hyperlink r:id="rId31">
              <w:r>
                <w:rPr>
                  <w:rStyle w:val="InternetLink"/>
                  <w:rFonts w:ascii="Times New Roman;serif" w:hAnsi="Times New Roman;serif"/>
                  <w:b w:val="false"/>
                  <w:i w:val="false"/>
                  <w:caps w:val="false"/>
                  <w:smallCaps w:val="false"/>
                  <w:color w:val="0000FF"/>
                  <w:sz w:val="20"/>
                  <w:u w:val="single"/>
                </w:rPr>
                <w:t xml:space="preserve">Indenture for Senior Notes, dated as of June 5, 2020, between the Company, as issuer, and U.S. Bank National </w:t>
              </w:r>
            </w:hyperlink>
          </w:p>
          <w:p>
            <w:pPr>
              <w:pStyle w:val="TableContents"/>
              <w:bidi w:val="0"/>
              <w:spacing w:lineRule="atLeast" w:line="200" w:before="0" w:after="0"/>
              <w:jc w:val="left"/>
              <w:rPr/>
            </w:pPr>
            <w:hyperlink r:id="rId32">
              <w:r>
                <w:rPr>
                  <w:rStyle w:val="InternetLink"/>
                  <w:rFonts w:ascii="Times New Roman;serif" w:hAnsi="Times New Roman;serif"/>
                  <w:b w:val="false"/>
                  <w:i w:val="false"/>
                  <w:caps w:val="false"/>
                  <w:smallCaps w:val="false"/>
                  <w:color w:val="0000FF"/>
                  <w:sz w:val="20"/>
                  <w:u w:val="single"/>
                </w:rPr>
                <w:t xml:space="preserve">Association, as trustee (incorporated by reference to the Company’s Current Report on Form 8-K (No. 001-13459), </w:t>
              </w:r>
            </w:hyperlink>
          </w:p>
          <w:p>
            <w:pPr>
              <w:pStyle w:val="TableContents"/>
              <w:bidi w:val="0"/>
              <w:spacing w:lineRule="atLeast" w:line="200" w:before="0" w:after="0"/>
              <w:jc w:val="left"/>
              <w:rPr/>
            </w:pPr>
            <w:hyperlink r:id="rId33">
              <w:r>
                <w:rPr>
                  <w:rStyle w:val="InternetLink"/>
                  <w:rFonts w:ascii="Times New Roman;serif" w:hAnsi="Times New Roman;serif"/>
                  <w:b w:val="false"/>
                  <w:i w:val="false"/>
                  <w:caps w:val="false"/>
                  <w:smallCaps w:val="false"/>
                  <w:color w:val="0000FF"/>
                  <w:sz w:val="20"/>
                  <w:u w:val="single"/>
                </w:rPr>
                <w:t>filed June 5, 2020)</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4.7</w:t>
            </w:r>
          </w:p>
        </w:tc>
        <w:tc>
          <w:tcPr>
            <w:tcW w:w="9601" w:type="dxa"/>
            <w:tcBorders/>
            <w:vAlign w:val="center"/>
          </w:tcPr>
          <w:p>
            <w:pPr>
              <w:pStyle w:val="TableContents"/>
              <w:bidi w:val="0"/>
              <w:spacing w:lineRule="atLeast" w:line="200" w:before="0" w:after="0"/>
              <w:jc w:val="left"/>
              <w:rPr/>
            </w:pPr>
            <w:hyperlink r:id="rId34">
              <w:r>
                <w:rPr>
                  <w:rStyle w:val="InternetLink"/>
                  <w:rFonts w:ascii="Times New Roman;serif" w:hAnsi="Times New Roman;serif"/>
                  <w:b w:val="false"/>
                  <w:i w:val="false"/>
                  <w:caps w:val="false"/>
                  <w:smallCaps w:val="false"/>
                  <w:color w:val="0000FF"/>
                  <w:sz w:val="20"/>
                  <w:u w:val="single"/>
                </w:rPr>
                <w:t xml:space="preserve">First Supplemental Indenture related to the 3.300% Senior Notes due 2030, dated as of June 5, 2020, between the </w:t>
              </w:r>
            </w:hyperlink>
          </w:p>
          <w:p>
            <w:pPr>
              <w:pStyle w:val="TableContents"/>
              <w:bidi w:val="0"/>
              <w:spacing w:lineRule="atLeast" w:line="200" w:before="0" w:after="0"/>
              <w:jc w:val="left"/>
              <w:rPr/>
            </w:pPr>
            <w:hyperlink r:id="rId35">
              <w:r>
                <w:rPr>
                  <w:rStyle w:val="InternetLink"/>
                  <w:rFonts w:ascii="Times New Roman;serif" w:hAnsi="Times New Roman;serif"/>
                  <w:b w:val="false"/>
                  <w:i w:val="false"/>
                  <w:caps w:val="false"/>
                  <w:smallCaps w:val="false"/>
                  <w:color w:val="0000FF"/>
                  <w:sz w:val="20"/>
                  <w:u w:val="single"/>
                </w:rPr>
                <w:t xml:space="preserve">Company, as issuer, and U.S. Bank National Association, as trustee, including the form of Global Note attached as </w:t>
              </w:r>
            </w:hyperlink>
          </w:p>
          <w:p>
            <w:pPr>
              <w:pStyle w:val="TableContents"/>
              <w:bidi w:val="0"/>
              <w:spacing w:lineRule="atLeast" w:line="200" w:before="0" w:after="0"/>
              <w:jc w:val="left"/>
              <w:rPr/>
            </w:pPr>
            <w:hyperlink r:id="rId36">
              <w:r>
                <w:rPr>
                  <w:rStyle w:val="InternetLink"/>
                  <w:rFonts w:ascii="Times New Roman;serif" w:hAnsi="Times New Roman;serif"/>
                  <w:b w:val="false"/>
                  <w:i w:val="false"/>
                  <w:caps w:val="false"/>
                  <w:smallCaps w:val="false"/>
                  <w:color w:val="0000FF"/>
                  <w:sz w:val="20"/>
                  <w:u w:val="single"/>
                </w:rPr>
                <w:t xml:space="preserve">Annex A thereto (incorporated by reference to the Company’s Current Report on Form 8-K (No. 001-13459), filed </w:t>
              </w:r>
            </w:hyperlink>
          </w:p>
          <w:p>
            <w:pPr>
              <w:pStyle w:val="TableContents"/>
              <w:bidi w:val="0"/>
              <w:spacing w:lineRule="atLeast" w:line="200" w:before="0" w:after="0"/>
              <w:jc w:val="left"/>
              <w:rPr/>
            </w:pPr>
            <w:hyperlink r:id="rId37">
              <w:r>
                <w:rPr>
                  <w:rStyle w:val="InternetLink"/>
                  <w:rFonts w:ascii="Times New Roman;serif" w:hAnsi="Times New Roman;serif"/>
                  <w:b w:val="false"/>
                  <w:i w:val="false"/>
                  <w:caps w:val="false"/>
                  <w:smallCaps w:val="false"/>
                  <w:color w:val="0000FF"/>
                  <w:sz w:val="20"/>
                  <w:u w:val="single"/>
                </w:rPr>
                <w:t>June 5, 2020)</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4.8</w:t>
            </w:r>
          </w:p>
        </w:tc>
        <w:tc>
          <w:tcPr>
            <w:tcW w:w="9601" w:type="dxa"/>
            <w:tcBorders/>
            <w:vAlign w:val="center"/>
          </w:tcPr>
          <w:p>
            <w:pPr>
              <w:pStyle w:val="TableContents"/>
              <w:bidi w:val="0"/>
              <w:spacing w:lineRule="atLeast" w:line="200" w:before="0" w:after="0"/>
              <w:jc w:val="left"/>
              <w:rPr/>
            </w:pPr>
            <w:hyperlink r:id="rId38">
              <w:r>
                <w:rPr>
                  <w:rStyle w:val="InternetLink"/>
                  <w:rFonts w:ascii="Times New Roman;serif" w:hAnsi="Times New Roman;serif"/>
                  <w:b w:val="false"/>
                  <w:i w:val="false"/>
                  <w:caps w:val="false"/>
                  <w:smallCaps w:val="false"/>
                  <w:color w:val="0000FF"/>
                  <w:sz w:val="20"/>
                  <w:u w:val="single"/>
                </w:rPr>
                <w:t xml:space="preserve">Second Supplemental Indenture related to the 5.500% Senior Notes due 2034, dated as of August 20, 2024, between </w:t>
              </w:r>
            </w:hyperlink>
          </w:p>
          <w:p>
            <w:pPr>
              <w:pStyle w:val="TableContents"/>
              <w:bidi w:val="0"/>
              <w:spacing w:lineRule="atLeast" w:line="200" w:before="0" w:after="0"/>
              <w:jc w:val="left"/>
              <w:rPr/>
            </w:pPr>
            <w:hyperlink r:id="rId39">
              <w:r>
                <w:rPr>
                  <w:rStyle w:val="InternetLink"/>
                  <w:rFonts w:ascii="Times New Roman;serif" w:hAnsi="Times New Roman;serif"/>
                  <w:b w:val="false"/>
                  <w:i w:val="false"/>
                  <w:caps w:val="false"/>
                  <w:smallCaps w:val="false"/>
                  <w:color w:val="0000FF"/>
                  <w:sz w:val="20"/>
                  <w:u w:val="single"/>
                </w:rPr>
                <w:t xml:space="preserve">the Company, as issuer, and U.S. Bank Trust Company, National Association, as trustee, including the form of </w:t>
              </w:r>
            </w:hyperlink>
          </w:p>
          <w:p>
            <w:pPr>
              <w:pStyle w:val="TableContents"/>
              <w:bidi w:val="0"/>
              <w:spacing w:lineRule="atLeast" w:line="200" w:before="0" w:after="0"/>
              <w:jc w:val="left"/>
              <w:rPr/>
            </w:pPr>
            <w:hyperlink r:id="rId40">
              <w:r>
                <w:rPr>
                  <w:rStyle w:val="InternetLink"/>
                  <w:rFonts w:ascii="Times New Roman;serif" w:hAnsi="Times New Roman;serif"/>
                  <w:b w:val="false"/>
                  <w:i w:val="false"/>
                  <w:caps w:val="false"/>
                  <w:smallCaps w:val="false"/>
                  <w:color w:val="0000FF"/>
                  <w:sz w:val="20"/>
                  <w:u w:val="single"/>
                </w:rPr>
                <w:t xml:space="preserve">Global Note attached as Annex A thereto (incorporated by reference to the Company’s Current Report on Form 8-K </w:t>
              </w:r>
            </w:hyperlink>
          </w:p>
          <w:p>
            <w:pPr>
              <w:pStyle w:val="TableContents"/>
              <w:bidi w:val="0"/>
              <w:spacing w:lineRule="atLeast" w:line="200" w:before="0" w:after="0"/>
              <w:jc w:val="left"/>
              <w:rPr/>
            </w:pPr>
            <w:hyperlink r:id="rId41">
              <w:r>
                <w:rPr>
                  <w:rStyle w:val="InternetLink"/>
                  <w:rFonts w:ascii="Times New Roman;serif" w:hAnsi="Times New Roman;serif"/>
                  <w:b w:val="false"/>
                  <w:i w:val="false"/>
                  <w:caps w:val="false"/>
                  <w:smallCaps w:val="false"/>
                  <w:color w:val="0000FF"/>
                  <w:sz w:val="20"/>
                  <w:u w:val="single"/>
                </w:rPr>
                <w:t xml:space="preserve">(No. 001-13459), filed August 20, 2024) </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4.9</w:t>
            </w:r>
          </w:p>
        </w:tc>
        <w:tc>
          <w:tcPr>
            <w:tcW w:w="9601" w:type="dxa"/>
            <w:tcBorders/>
            <w:vAlign w:val="center"/>
          </w:tcPr>
          <w:p>
            <w:pPr>
              <w:pStyle w:val="TableContents"/>
              <w:bidi w:val="0"/>
              <w:spacing w:lineRule="atLeast" w:line="200" w:before="0" w:after="0"/>
              <w:jc w:val="left"/>
              <w:rPr/>
            </w:pPr>
            <w:hyperlink r:id="rId42">
              <w:r>
                <w:rPr>
                  <w:rStyle w:val="InternetLink"/>
                  <w:rFonts w:ascii="Times New Roman;serif" w:hAnsi="Times New Roman;serif"/>
                  <w:b w:val="false"/>
                  <w:i w:val="false"/>
                  <w:caps w:val="false"/>
                  <w:smallCaps w:val="false"/>
                  <w:color w:val="0000FF"/>
                  <w:sz w:val="20"/>
                  <w:u w:val="single"/>
                </w:rPr>
                <w:t xml:space="preserve">Third Supplemental Indenture related to the 5.500% Senior Notes due 2036, dated as of December 11, 2025, </w:t>
              </w:r>
            </w:hyperlink>
          </w:p>
          <w:p>
            <w:pPr>
              <w:pStyle w:val="TableContents"/>
              <w:bidi w:val="0"/>
              <w:spacing w:lineRule="atLeast" w:line="200" w:before="0" w:after="0"/>
              <w:jc w:val="left"/>
              <w:rPr/>
            </w:pPr>
            <w:hyperlink r:id="rId43">
              <w:r>
                <w:rPr>
                  <w:rStyle w:val="InternetLink"/>
                  <w:rFonts w:ascii="Times New Roman;serif" w:hAnsi="Times New Roman;serif"/>
                  <w:b w:val="false"/>
                  <w:i w:val="false"/>
                  <w:caps w:val="false"/>
                  <w:smallCaps w:val="false"/>
                  <w:color w:val="0000FF"/>
                  <w:sz w:val="20"/>
                  <w:u w:val="single"/>
                </w:rPr>
                <w:t xml:space="preserve">between the Company, as issuer, and U.S. Bank Trust Company, National Association, as trustee, including the </w:t>
              </w:r>
            </w:hyperlink>
          </w:p>
          <w:p>
            <w:pPr>
              <w:pStyle w:val="TableContents"/>
              <w:bidi w:val="0"/>
              <w:spacing w:lineRule="atLeast" w:line="200" w:before="0" w:after="0"/>
              <w:jc w:val="left"/>
              <w:rPr/>
            </w:pPr>
            <w:hyperlink r:id="rId44">
              <w:r>
                <w:rPr>
                  <w:rStyle w:val="InternetLink"/>
                  <w:rFonts w:ascii="Times New Roman;serif" w:hAnsi="Times New Roman;serif"/>
                  <w:b w:val="false"/>
                  <w:i w:val="false"/>
                  <w:caps w:val="false"/>
                  <w:smallCaps w:val="false"/>
                  <w:color w:val="0000FF"/>
                  <w:sz w:val="20"/>
                  <w:u w:val="single"/>
                </w:rPr>
                <w:t xml:space="preserve">form of Global Note attached as Annex A thereto (incorporated by reference to the Company’s Current Report on </w:t>
              </w:r>
            </w:hyperlink>
          </w:p>
          <w:p>
            <w:pPr>
              <w:pStyle w:val="TableContents"/>
              <w:bidi w:val="0"/>
              <w:spacing w:lineRule="atLeast" w:line="200" w:before="0" w:after="0"/>
              <w:jc w:val="left"/>
              <w:rPr/>
            </w:pPr>
            <w:hyperlink r:id="rId45">
              <w:r>
                <w:rPr>
                  <w:rStyle w:val="InternetLink"/>
                  <w:rFonts w:ascii="Times New Roman;serif" w:hAnsi="Times New Roman;serif"/>
                  <w:b w:val="false"/>
                  <w:i w:val="false"/>
                  <w:caps w:val="false"/>
                  <w:smallCaps w:val="false"/>
                  <w:color w:val="0000FF"/>
                  <w:sz w:val="20"/>
                  <w:u w:val="single"/>
                </w:rPr>
                <w:t xml:space="preserve">Form 8-K (No. 001-13459), filed December 11, 2025) </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4.10</w:t>
            </w:r>
          </w:p>
        </w:tc>
        <w:tc>
          <w:tcPr>
            <w:tcW w:w="9601" w:type="dxa"/>
            <w:tcBorders/>
            <w:vAlign w:val="center"/>
          </w:tcPr>
          <w:p>
            <w:pPr>
              <w:pStyle w:val="TableContents"/>
              <w:bidi w:val="0"/>
              <w:spacing w:lineRule="atLeast" w:line="200" w:before="0" w:after="0"/>
              <w:jc w:val="left"/>
              <w:rPr/>
            </w:pPr>
            <w:hyperlink r:id="rId46">
              <w:r>
                <w:rPr>
                  <w:rStyle w:val="InternetLink"/>
                  <w:rFonts w:ascii="Times New Roman;serif" w:hAnsi="Times New Roman;serif"/>
                  <w:b w:val="false"/>
                  <w:i w:val="false"/>
                  <w:caps w:val="false"/>
                  <w:smallCaps w:val="false"/>
                  <w:color w:val="0000FF"/>
                  <w:sz w:val="20"/>
                  <w:u w:val="single"/>
                </w:rPr>
                <w:t>Description of the Registrant’s Securities (incorporated by reference to the Company’s Annual Report on Form 10-</w:t>
              </w:r>
            </w:hyperlink>
          </w:p>
          <w:p>
            <w:pPr>
              <w:pStyle w:val="TableContents"/>
              <w:bidi w:val="0"/>
              <w:spacing w:lineRule="atLeast" w:line="200" w:before="0" w:after="0"/>
              <w:jc w:val="left"/>
              <w:rPr/>
            </w:pPr>
            <w:hyperlink r:id="rId47">
              <w:r>
                <w:rPr>
                  <w:rStyle w:val="InternetLink"/>
                  <w:rFonts w:ascii="Times New Roman;serif" w:hAnsi="Times New Roman;serif"/>
                  <w:b w:val="false"/>
                  <w:i w:val="false"/>
                  <w:caps w:val="false"/>
                  <w:smallCaps w:val="false"/>
                  <w:color w:val="0000FF"/>
                  <w:sz w:val="20"/>
                  <w:u w:val="single"/>
                </w:rPr>
                <w:t>K (No. 001-13459), filed February 14, 2025)</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c>
          <w:tcPr>
            <w:tcW w:w="9601"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"https://www.sec.gov/Archives/edgar/data/1004434/000104746915004126/a2224331zdef14a.htm" \l "toc_la78601_2"</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 xml:space="preserve">Executive Incentive Plan of the Company (incorporated by reference to the Company’s Proxy Statement on </w:t>
            </w:r>
            <w:r>
              <w:rPr>
                <w:rStyle w:val="InternetLink"/>
                <w:smallCaps w:val="false"/>
                <w:caps w:val="false"/>
                <w:sz w:val="20"/>
                <w:i w:val="false"/>
                <w:u w:val="single"/>
                <w:b w:val="false"/>
                <w:rFonts w:ascii="Times New Roman;serif" w:hAnsi="Times New Roman;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"https://www.sec.gov/Archives/edgar/data/1004434/000104746915004126/a2224331zdef14a.htm" \l "toc_la78601_2"</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Schedule 14A (No. 001-13459), filed April 29, 2015)</w:t>
            </w:r>
            <w:r>
              <w:rPr>
                <w:rStyle w:val="InternetLink"/>
                <w:smallCaps w:val="false"/>
                <w:caps w:val="false"/>
                <w:sz w:val="20"/>
                <w:i w:val="false"/>
                <w:u w:val="single"/>
                <w:b w:val="false"/>
                <w:rFonts w:ascii="Times New Roman;serif" w:hAnsi="Times New Roman;serif"/>
                <w:color w:val="0000FF"/>
              </w:rPr>
              <w:fldChar w:fldCharType="end"/>
            </w:r>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w:t>
            </w:r>
          </w:p>
        </w:tc>
        <w:tc>
          <w:tcPr>
            <w:tcW w:w="9601" w:type="dxa"/>
            <w:tcBorders/>
            <w:vAlign w:val="center"/>
          </w:tcPr>
          <w:p>
            <w:pPr>
              <w:pStyle w:val="TableContents"/>
              <w:bidi w:val="0"/>
              <w:spacing w:lineRule="atLeast" w:line="200" w:before="0" w:after="0"/>
              <w:jc w:val="left"/>
              <w:rPr/>
            </w:pPr>
            <w:hyperlink r:id="rId48">
              <w:r>
                <w:rPr>
                  <w:rStyle w:val="InternetLink"/>
                  <w:rFonts w:ascii="Times New Roman;serif" w:hAnsi="Times New Roman;serif"/>
                  <w:b w:val="false"/>
                  <w:i w:val="false"/>
                  <w:caps w:val="false"/>
                  <w:smallCaps w:val="false"/>
                  <w:color w:val="0000FF"/>
                  <w:sz w:val="20"/>
                  <w:u w:val="single"/>
                </w:rPr>
                <w:t xml:space="preserve">Amended and Restated 1997 Stock Option and Incentive Plan of the Company (incorporated by reference to the </w:t>
              </w:r>
            </w:hyperlink>
          </w:p>
          <w:p>
            <w:pPr>
              <w:pStyle w:val="TableContents"/>
              <w:bidi w:val="0"/>
              <w:spacing w:lineRule="atLeast" w:line="200" w:before="0" w:after="0"/>
              <w:jc w:val="left"/>
              <w:rPr/>
            </w:pPr>
            <w:hyperlink r:id="rId49">
              <w:r>
                <w:rPr>
                  <w:rStyle w:val="InternetLink"/>
                  <w:rFonts w:ascii="Times New Roman;serif" w:hAnsi="Times New Roman;serif"/>
                  <w:b w:val="false"/>
                  <w:i w:val="false"/>
                  <w:caps w:val="false"/>
                  <w:smallCaps w:val="false"/>
                  <w:color w:val="0000FF"/>
                  <w:sz w:val="20"/>
                  <w:u w:val="single"/>
                </w:rPr>
                <w:t>Company’s Quarterly Report on Form 10-Q (No. 001-13459), filed May 10, 2004)</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w:t>
            </w:r>
          </w:p>
        </w:tc>
        <w:tc>
          <w:tcPr>
            <w:tcW w:w="9601" w:type="dxa"/>
            <w:tcBorders/>
            <w:vAlign w:val="center"/>
          </w:tcPr>
          <w:p>
            <w:pPr>
              <w:pStyle w:val="TableContents"/>
              <w:bidi w:val="0"/>
              <w:spacing w:lineRule="atLeast" w:line="200" w:before="0" w:after="0"/>
              <w:jc w:val="left"/>
              <w:rPr/>
            </w:pPr>
            <w:hyperlink r:id="rId50">
              <w:r>
                <w:rPr>
                  <w:rStyle w:val="InternetLink"/>
                  <w:rFonts w:ascii="Times New Roman;serif" w:hAnsi="Times New Roman;serif"/>
                  <w:b w:val="false"/>
                  <w:i w:val="false"/>
                  <w:caps w:val="false"/>
                  <w:smallCaps w:val="false"/>
                  <w:color w:val="0000FF"/>
                  <w:sz w:val="20"/>
                  <w:u w:val="single"/>
                </w:rPr>
                <w:t xml:space="preserve">Amendment No. 1 to the Company’s 1997 Stock Option and Incentive Plan (incorporated by reference to the </w:t>
              </w:r>
            </w:hyperlink>
          </w:p>
          <w:p>
            <w:pPr>
              <w:pStyle w:val="TableContents"/>
              <w:bidi w:val="0"/>
              <w:spacing w:lineRule="atLeast" w:line="200" w:before="0" w:after="0"/>
              <w:jc w:val="left"/>
              <w:rPr/>
            </w:pPr>
            <w:hyperlink r:id="rId51">
              <w:r>
                <w:rPr>
                  <w:rStyle w:val="InternetLink"/>
                  <w:rFonts w:ascii="Times New Roman;serif" w:hAnsi="Times New Roman;serif"/>
                  <w:b w:val="false"/>
                  <w:i w:val="false"/>
                  <w:caps w:val="false"/>
                  <w:smallCaps w:val="false"/>
                  <w:color w:val="0000FF"/>
                  <w:sz w:val="20"/>
                  <w:u w:val="single"/>
                </w:rPr>
                <w:t>Company’s Quarterly Report on Form 10-Q (No. 001-13459), filed July 31, 2020)</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9601" w:type="dxa"/>
            <w:tcBorders/>
            <w:vAlign w:val="center"/>
          </w:tcPr>
          <w:p>
            <w:pPr>
              <w:pStyle w:val="TableContents"/>
              <w:bidi w:val="0"/>
              <w:spacing w:lineRule="atLeast" w:line="200" w:before="0" w:after="0"/>
              <w:jc w:val="left"/>
              <w:rPr/>
            </w:pPr>
            <w:hyperlink r:id="rId52">
              <w:r>
                <w:rPr>
                  <w:rStyle w:val="InternetLink"/>
                  <w:rFonts w:ascii="Times New Roman;serif" w:hAnsi="Times New Roman;serif"/>
                  <w:b w:val="false"/>
                  <w:i w:val="false"/>
                  <w:caps w:val="false"/>
                  <w:smallCaps w:val="false"/>
                  <w:color w:val="0000FF"/>
                  <w:sz w:val="20"/>
                  <w:u w:val="single"/>
                </w:rPr>
                <w:t xml:space="preserve">Amended and Restated Long-Term Stock and Investment Plan of the Company (incorporated by reference to the </w:t>
              </w:r>
            </w:hyperlink>
          </w:p>
          <w:p>
            <w:pPr>
              <w:pStyle w:val="TableContents"/>
              <w:bidi w:val="0"/>
              <w:spacing w:lineRule="atLeast" w:line="200" w:before="0" w:after="0"/>
              <w:jc w:val="left"/>
              <w:rPr/>
            </w:pPr>
            <w:hyperlink r:id="rId53">
              <w:r>
                <w:rPr>
                  <w:rStyle w:val="InternetLink"/>
                  <w:rFonts w:ascii="Times New Roman;serif" w:hAnsi="Times New Roman;serif"/>
                  <w:b w:val="false"/>
                  <w:i w:val="false"/>
                  <w:caps w:val="false"/>
                  <w:smallCaps w:val="false"/>
                  <w:color w:val="0000FF"/>
                  <w:sz w:val="20"/>
                  <w:u w:val="single"/>
                </w:rPr>
                <w:t>Company’s Annual Report on Form 10-K (No. 001-13459), filed February 27, 2014)</w:t>
              </w:r>
            </w:hyperlink>
          </w:p>
        </w:tc>
      </w:tr>
      <w:tr>
        <w:trPr/>
        <w:tc>
          <w:tcPr>
            <w:tcW w:w="5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10.5†</w:t>
            </w:r>
          </w:p>
        </w:tc>
        <w:tc>
          <w:tcPr>
            <w:tcW w:w="9601" w:type="dxa"/>
            <w:tcBorders/>
            <w:vAlign w:val="center"/>
          </w:tcPr>
          <w:p>
            <w:pPr>
              <w:pStyle w:val="TableContents"/>
              <w:bidi w:val="0"/>
              <w:spacing w:lineRule="atLeast" w:line="200" w:before="0" w:after="0"/>
              <w:jc w:val="left"/>
              <w:rPr/>
            </w:pPr>
            <w:hyperlink r:id="rId54">
              <w:r>
                <w:rPr>
                  <w:rStyle w:val="InternetLink"/>
                  <w:rFonts w:ascii="Times New Roman;serif" w:hAnsi="Times New Roman;serif"/>
                  <w:b w:val="false"/>
                  <w:i w:val="false"/>
                  <w:caps w:val="false"/>
                  <w:smallCaps w:val="false"/>
                  <w:color w:val="0000FF"/>
                  <w:sz w:val="20"/>
                  <w:u w:val="single"/>
                </w:rPr>
                <w:t xml:space="preserve">Deferred Compensation Plan of the Company (incorporated by reference to the Company’s Annual Report on Form </w:t>
              </w:r>
            </w:hyperlink>
          </w:p>
          <w:p>
            <w:pPr>
              <w:pStyle w:val="TableContents"/>
              <w:bidi w:val="0"/>
              <w:spacing w:lineRule="atLeast" w:line="200" w:before="0" w:after="0"/>
              <w:jc w:val="left"/>
              <w:rPr/>
            </w:pPr>
            <w:hyperlink r:id="rId55">
              <w:r>
                <w:rPr>
                  <w:rStyle w:val="InternetLink"/>
                  <w:rFonts w:ascii="Times New Roman;serif" w:hAnsi="Times New Roman;serif"/>
                  <w:b w:val="false"/>
                  <w:i w:val="false"/>
                  <w:caps w:val="false"/>
                  <w:smallCaps w:val="false"/>
                  <w:color w:val="0000FF"/>
                  <w:sz w:val="20"/>
                  <w:u w:val="single"/>
                </w:rPr>
                <w:t>10-K (No. 001-13459), filed March 2, 2009)</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89"/>
        <w:gridCol w:w="9516"/>
      </w:tblGrid>
      <w:tr>
        <w:trPr/>
        <w:tc>
          <w:tcPr>
            <w:tcW w:w="689" w:type="dxa"/>
            <w:tcBorders/>
            <w:vAlign w:val="center"/>
          </w:tcPr>
          <w:p>
            <w:pPr>
              <w:pStyle w:val="TableContents"/>
              <w:bidi w:val="0"/>
              <w:spacing w:before="0" w:after="283"/>
              <w:jc w:val="left"/>
              <w:rPr>
                <w:sz w:val="4"/>
                <w:szCs w:val="4"/>
              </w:rPr>
            </w:pPr>
            <w:r>
              <w:rPr>
                <w:sz w:val="4"/>
                <w:szCs w:val="4"/>
              </w:rPr>
            </w:r>
          </w:p>
        </w:tc>
        <w:tc>
          <w:tcPr>
            <w:tcW w:w="9516" w:type="dxa"/>
            <w:tcBorders/>
            <w:vAlign w:val="center"/>
          </w:tcPr>
          <w:p>
            <w:pPr>
              <w:pStyle w:val="TableContents"/>
              <w:bidi w:val="0"/>
              <w:spacing w:before="0" w:after="283"/>
              <w:jc w:val="left"/>
              <w:rPr>
                <w:sz w:val="4"/>
                <w:szCs w:val="4"/>
              </w:rPr>
            </w:pPr>
            <w:r>
              <w:rPr>
                <w:sz w:val="4"/>
                <w:szCs w:val="4"/>
              </w:rPr>
            </w:r>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10.6†</w:t>
            </w:r>
          </w:p>
        </w:tc>
        <w:tc>
          <w:tcPr>
            <w:tcW w:w="9516"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"https://www.sec.gov/Archives/edgar/data/1004434/000104746911003828/a2203474zdef14a.htm" \l "toc_cm71601_1"</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 xml:space="preserve">2011 Stock Option and Incentive Plan of the Company (incorporated by reference to the Company’s Proxy </w:t>
            </w:r>
            <w:r>
              <w:rPr>
                <w:rStyle w:val="InternetLink"/>
                <w:smallCaps w:val="false"/>
                <w:caps w:val="false"/>
                <w:sz w:val="20"/>
                <w:i w:val="false"/>
                <w:u w:val="single"/>
                <w:b w:val="false"/>
                <w:rFonts w:ascii="Times New Roman;serif" w:hAnsi="Times New Roman;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"https://www.sec.gov/Archives/edgar/data/1004434/000104746911003828/a2203474zdef14a.htm" \l "toc_cm71601_1"</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Statement on Schedule 14A (No. 001-13459), filed April 19, 2011)</w:t>
            </w:r>
            <w:r>
              <w:rPr>
                <w:rStyle w:val="InternetLink"/>
                <w:smallCaps w:val="false"/>
                <w:caps w:val="false"/>
                <w:sz w:val="20"/>
                <w:i w:val="false"/>
                <w:u w:val="single"/>
                <w:b w:val="false"/>
                <w:rFonts w:ascii="Times New Roman;serif" w:hAnsi="Times New Roman;serif"/>
                <w:color w:val="0000FF"/>
              </w:rPr>
              <w:fldChar w:fldCharType="end"/>
            </w:r>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w:t>
            </w:r>
          </w:p>
        </w:tc>
        <w:tc>
          <w:tcPr>
            <w:tcW w:w="9516" w:type="dxa"/>
            <w:tcBorders/>
            <w:vAlign w:val="center"/>
          </w:tcPr>
          <w:p>
            <w:pPr>
              <w:pStyle w:val="TableContents"/>
              <w:bidi w:val="0"/>
              <w:spacing w:lineRule="atLeast" w:line="200" w:before="0" w:after="0"/>
              <w:jc w:val="left"/>
              <w:rPr/>
            </w:pPr>
            <w:hyperlink r:id="rId56">
              <w:r>
                <w:rPr>
                  <w:rStyle w:val="InternetLink"/>
                  <w:rFonts w:ascii="Times New Roman;serif" w:hAnsi="Times New Roman;serif"/>
                  <w:b w:val="false"/>
                  <w:i w:val="false"/>
                  <w:caps w:val="false"/>
                  <w:smallCaps w:val="false"/>
                  <w:color w:val="0000FF"/>
                  <w:sz w:val="20"/>
                  <w:u w:val="single"/>
                </w:rPr>
                <w:t xml:space="preserve">Amendment No. 1 to the Company’s 2011 Stock Option and Incentive Plan (incorporated by reference to the </w:t>
              </w:r>
            </w:hyperlink>
          </w:p>
          <w:p>
            <w:pPr>
              <w:pStyle w:val="TableContents"/>
              <w:bidi w:val="0"/>
              <w:spacing w:lineRule="atLeast" w:line="200" w:before="0" w:after="0"/>
              <w:jc w:val="left"/>
              <w:rPr/>
            </w:pPr>
            <w:hyperlink r:id="rId57">
              <w:r>
                <w:rPr>
                  <w:rStyle w:val="InternetLink"/>
                  <w:rFonts w:ascii="Times New Roman;serif" w:hAnsi="Times New Roman;serif"/>
                  <w:b w:val="false"/>
                  <w:i w:val="false"/>
                  <w:caps w:val="false"/>
                  <w:smallCaps w:val="false"/>
                  <w:color w:val="0000FF"/>
                  <w:sz w:val="20"/>
                  <w:u w:val="single"/>
                </w:rPr>
                <w:t>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10.8†</w:t>
            </w:r>
          </w:p>
        </w:tc>
        <w:tc>
          <w:tcPr>
            <w:tcW w:w="9516" w:type="dxa"/>
            <w:tcBorders/>
            <w:vAlign w:val="center"/>
          </w:tcPr>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"https://www.sec.gov/Archives/edgar/data/1004434/000104746913005205/a2214725zdef14a.htm" \l "toc_la17201_1"</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 xml:space="preserve">2013 Incentive Stock Award Plan of the Company (incorporated by reference to the Company’s Proxy Statement on </w:t>
            </w:r>
            <w:r>
              <w:rPr>
                <w:rStyle w:val="InternetLink"/>
                <w:smallCaps w:val="false"/>
                <w:caps w:val="false"/>
                <w:sz w:val="20"/>
                <w:i w:val="false"/>
                <w:u w:val="single"/>
                <w:b w:val="false"/>
                <w:rFonts w:ascii="Times New Roman;serif" w:hAnsi="Times New Roman;serif"/>
                <w:color w:val="0000FF"/>
              </w:rPr>
              <w:fldChar w:fldCharType="end"/>
            </w:r>
          </w:p>
          <w:p>
            <w:pPr>
              <w:pStyle w:val="TableContents"/>
              <w:bidi w:val="0"/>
              <w:spacing w:lineRule="atLeast" w:line="200" w:before="0" w:after="0"/>
              <w:jc w:val="left"/>
              <w:rPr/>
            </w:pPr>
            <w:r>
              <w:fldChar w:fldCharType="begin"/>
            </w:r>
            <w:r>
              <w:rPr>
                <w:rStyle w:val="InternetLink"/>
                <w:smallCaps w:val="false"/>
                <w:caps w:val="false"/>
                <w:sz w:val="20"/>
                <w:i w:val="false"/>
                <w:u w:val="single"/>
                <w:b w:val="false"/>
                <w:rFonts w:ascii="Times New Roman;serif" w:hAnsi="Times New Roman;serif"/>
                <w:color w:val="0000FF"/>
              </w:rPr>
              <w:instrText xml:space="preserve"> HYPERLINK "https://www.sec.gov/Archives/edgar/data/1004434/000104746913005205/a2214725zdef14a.htm" \l "toc_la17201_1"</w:instrText>
            </w:r>
            <w:r>
              <w:rPr>
                <w:rStyle w:val="InternetLink"/>
                <w:smallCaps w:val="false"/>
                <w:caps w:val="false"/>
                <w:sz w:val="20"/>
                <w:i w:val="false"/>
                <w:u w:val="single"/>
                <w:b w:val="false"/>
                <w:rFonts w:ascii="Times New Roman;serif" w:hAnsi="Times New Roman;serif"/>
                <w:color w:val="0000FF"/>
              </w:rPr>
              <w:fldChar w:fldCharType="separate"/>
            </w:r>
            <w:r>
              <w:rPr>
                <w:rStyle w:val="InternetLink"/>
                <w:rFonts w:ascii="Times New Roman;serif" w:hAnsi="Times New Roman;serif"/>
                <w:b w:val="false"/>
                <w:i w:val="false"/>
                <w:caps w:val="false"/>
                <w:smallCaps w:val="false"/>
                <w:color w:val="0000FF"/>
                <w:sz w:val="20"/>
                <w:u w:val="single"/>
              </w:rPr>
              <w:t>Schedule 14A (No. 001-13459), filed April 30, 2013)</w:t>
            </w:r>
            <w:r>
              <w:rPr>
                <w:rStyle w:val="InternetLink"/>
                <w:smallCaps w:val="false"/>
                <w:caps w:val="false"/>
                <w:sz w:val="20"/>
                <w:i w:val="false"/>
                <w:u w:val="single"/>
                <w:b w:val="false"/>
                <w:rFonts w:ascii="Times New Roman;serif" w:hAnsi="Times New Roman;serif"/>
                <w:color w:val="0000FF"/>
              </w:rPr>
              <w:fldChar w:fldCharType="end"/>
            </w:r>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10.9†</w:t>
            </w:r>
          </w:p>
        </w:tc>
        <w:tc>
          <w:tcPr>
            <w:tcW w:w="9516" w:type="dxa"/>
            <w:tcBorders/>
            <w:vAlign w:val="center"/>
          </w:tcPr>
          <w:p>
            <w:pPr>
              <w:pStyle w:val="TableContents"/>
              <w:bidi w:val="0"/>
              <w:spacing w:lineRule="atLeast" w:line="200" w:before="0" w:after="0"/>
              <w:jc w:val="left"/>
              <w:rPr/>
            </w:pPr>
            <w:hyperlink r:id="rId58">
              <w:r>
                <w:rPr>
                  <w:rStyle w:val="InternetLink"/>
                  <w:rFonts w:ascii="Times New Roman;serif" w:hAnsi="Times New Roman;serif"/>
                  <w:b w:val="false"/>
                  <w:i w:val="false"/>
                  <w:caps w:val="false"/>
                  <w:smallCaps w:val="false"/>
                  <w:color w:val="0000FF"/>
                  <w:sz w:val="20"/>
                  <w:u w:val="single"/>
                </w:rPr>
                <w:t xml:space="preserve">Amendment No. 1 to the Company’s 2013 Incentive Stock Award Plan (incorporated by reference to the </w:t>
              </w:r>
            </w:hyperlink>
          </w:p>
          <w:p>
            <w:pPr>
              <w:pStyle w:val="TableContents"/>
              <w:bidi w:val="0"/>
              <w:spacing w:lineRule="atLeast" w:line="200" w:before="0" w:after="0"/>
              <w:jc w:val="left"/>
              <w:rPr/>
            </w:pPr>
            <w:hyperlink r:id="rId59">
              <w:r>
                <w:rPr>
                  <w:rStyle w:val="InternetLink"/>
                  <w:rFonts w:ascii="Times New Roman;serif" w:hAnsi="Times New Roman;serif"/>
                  <w:b w:val="false"/>
                  <w:i w:val="false"/>
                  <w:caps w:val="false"/>
                  <w:smallCaps w:val="false"/>
                  <w:color w:val="0000FF"/>
                  <w:sz w:val="20"/>
                  <w:u w:val="single"/>
                </w:rPr>
                <w:t>Company’s Annual Report on Form 10-K (No. 001-13459), filed February 28,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10.10†</w:t>
            </w:r>
          </w:p>
        </w:tc>
        <w:tc>
          <w:tcPr>
            <w:tcW w:w="9516" w:type="dxa"/>
            <w:tcBorders/>
            <w:vAlign w:val="center"/>
          </w:tcPr>
          <w:p>
            <w:pPr>
              <w:pStyle w:val="TableContents"/>
              <w:bidi w:val="0"/>
              <w:spacing w:lineRule="atLeast" w:line="200" w:before="0" w:after="0"/>
              <w:jc w:val="left"/>
              <w:rPr/>
            </w:pPr>
            <w:hyperlink r:id="rId60">
              <w:r>
                <w:rPr>
                  <w:rStyle w:val="InternetLink"/>
                  <w:rFonts w:ascii="Times New Roman;serif" w:hAnsi="Times New Roman;serif"/>
                  <w:b w:val="false"/>
                  <w:i w:val="false"/>
                  <w:caps w:val="false"/>
                  <w:smallCaps w:val="false"/>
                  <w:color w:val="0000FF"/>
                  <w:sz w:val="20"/>
                  <w:u w:val="single"/>
                </w:rPr>
                <w:t xml:space="preserve">2020 Equity Incentive Plan of the Company (incorporated by reference to the Company’s Registration Statement on </w:t>
              </w:r>
            </w:hyperlink>
          </w:p>
          <w:p>
            <w:pPr>
              <w:pStyle w:val="TableContents"/>
              <w:bidi w:val="0"/>
              <w:spacing w:lineRule="atLeast" w:line="200" w:before="0" w:after="0"/>
              <w:jc w:val="left"/>
              <w:rPr/>
            </w:pPr>
            <w:hyperlink r:id="rId61">
              <w:r>
                <w:rPr>
                  <w:rStyle w:val="InternetLink"/>
                  <w:rFonts w:ascii="Times New Roman;serif" w:hAnsi="Times New Roman;serif"/>
                  <w:b w:val="false"/>
                  <w:i w:val="false"/>
                  <w:caps w:val="false"/>
                  <w:smallCaps w:val="false"/>
                  <w:color w:val="0000FF"/>
                  <w:sz w:val="20"/>
                  <w:u w:val="single"/>
                </w:rPr>
                <w:t>Form S-8 (No. 333-240091), filed July 24,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10.11†</w:t>
            </w:r>
          </w:p>
        </w:tc>
        <w:tc>
          <w:tcPr>
            <w:tcW w:w="9516" w:type="dxa"/>
            <w:tcBorders/>
            <w:vAlign w:val="center"/>
          </w:tcPr>
          <w:p>
            <w:pPr>
              <w:pStyle w:val="TableContents"/>
              <w:bidi w:val="0"/>
              <w:spacing w:lineRule="atLeast" w:line="200" w:before="0" w:after="0"/>
              <w:jc w:val="left"/>
              <w:rPr/>
            </w:pPr>
            <w:hyperlink r:id="rId62">
              <w:r>
                <w:rPr>
                  <w:rStyle w:val="InternetLink"/>
                  <w:rFonts w:ascii="Times New Roman;serif" w:hAnsi="Times New Roman;serif"/>
                  <w:b w:val="false"/>
                  <w:i w:val="false"/>
                  <w:caps w:val="false"/>
                  <w:smallCaps w:val="false"/>
                  <w:color w:val="0000FF"/>
                  <w:sz w:val="20"/>
                  <w:u w:val="single"/>
                </w:rPr>
                <w:t xml:space="preserve">Form of Restricted Stock Unit Award Agreement pursuant to the Company’s 2013 Incentive Stock Award Plan </w:t>
              </w:r>
            </w:hyperlink>
          </w:p>
          <w:p>
            <w:pPr>
              <w:pStyle w:val="TableContents"/>
              <w:bidi w:val="0"/>
              <w:spacing w:lineRule="atLeast" w:line="200" w:before="0" w:after="0"/>
              <w:jc w:val="left"/>
              <w:rPr/>
            </w:pPr>
            <w:hyperlink r:id="rId63">
              <w:r>
                <w:rPr>
                  <w:rStyle w:val="InternetLink"/>
                  <w:rFonts w:ascii="Times New Roman;serif" w:hAnsi="Times New Roman;serif"/>
                  <w:b w:val="false"/>
                  <w:i w:val="false"/>
                  <w:caps w:val="false"/>
                  <w:smallCaps w:val="false"/>
                  <w:color w:val="0000FF"/>
                  <w:sz w:val="20"/>
                  <w:u w:val="single"/>
                </w:rPr>
                <w:t xml:space="preserve">(incorporated by reference to the Company’s Annual Report on Form 10-K (No. 001-13459), filed February 28, </w:t>
              </w:r>
            </w:hyperlink>
          </w:p>
          <w:p>
            <w:pPr>
              <w:pStyle w:val="TableContents"/>
              <w:bidi w:val="0"/>
              <w:spacing w:lineRule="atLeast" w:line="200" w:before="0" w:after="0"/>
              <w:jc w:val="left"/>
              <w:rPr/>
            </w:pPr>
            <w:hyperlink r:id="rId64">
              <w:r>
                <w:rPr>
                  <w:rStyle w:val="InternetLink"/>
                  <w:rFonts w:ascii="Times New Roman;serif" w:hAnsi="Times New Roman;serif"/>
                  <w:b w:val="false"/>
                  <w:i w:val="false"/>
                  <w:caps w:val="false"/>
                  <w:smallCaps w:val="false"/>
                  <w:color w:val="0000FF"/>
                  <w:sz w:val="20"/>
                  <w:u w:val="single"/>
                </w:rPr>
                <w:t>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10.12†</w:t>
            </w:r>
          </w:p>
        </w:tc>
        <w:tc>
          <w:tcPr>
            <w:tcW w:w="9516" w:type="dxa"/>
            <w:tcBorders/>
            <w:vAlign w:val="center"/>
          </w:tcPr>
          <w:p>
            <w:pPr>
              <w:pStyle w:val="TableContents"/>
              <w:bidi w:val="0"/>
              <w:spacing w:lineRule="atLeast" w:line="200" w:before="0" w:after="0"/>
              <w:jc w:val="left"/>
              <w:rPr/>
            </w:pPr>
            <w:hyperlink r:id="rId65">
              <w:r>
                <w:rPr>
                  <w:rStyle w:val="InternetLink"/>
                  <w:rFonts w:ascii="Times New Roman;serif" w:hAnsi="Times New Roman;serif"/>
                  <w:b w:val="false"/>
                  <w:i w:val="false"/>
                  <w:caps w:val="false"/>
                  <w:smallCaps w:val="false"/>
                  <w:color w:val="0000FF"/>
                  <w:sz w:val="20"/>
                  <w:u w:val="single"/>
                </w:rPr>
                <w:t xml:space="preserve">Form of Stock Option Agreement pursuant to the Company’s Stock Option and Incentive Plans (incorporated by </w:t>
              </w:r>
            </w:hyperlink>
          </w:p>
          <w:p>
            <w:pPr>
              <w:pStyle w:val="TableContents"/>
              <w:bidi w:val="0"/>
              <w:spacing w:lineRule="atLeast" w:line="200" w:before="0" w:after="0"/>
              <w:jc w:val="left"/>
              <w:rPr/>
            </w:pPr>
            <w:hyperlink r:id="rId66">
              <w:r>
                <w:rPr>
                  <w:rStyle w:val="InternetLink"/>
                  <w:rFonts w:ascii="Times New Roman;serif" w:hAnsi="Times New Roman;serif"/>
                  <w:b w:val="false"/>
                  <w:i w:val="false"/>
                  <w:caps w:val="false"/>
                  <w:smallCaps w:val="false"/>
                  <w:color w:val="0000FF"/>
                  <w:sz w:val="20"/>
                  <w:u w:val="single"/>
                </w:rPr>
                <w:t>reference to the 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10.13†</w:t>
            </w:r>
          </w:p>
        </w:tc>
        <w:tc>
          <w:tcPr>
            <w:tcW w:w="9516" w:type="dxa"/>
            <w:tcBorders/>
            <w:vAlign w:val="center"/>
          </w:tcPr>
          <w:p>
            <w:pPr>
              <w:pStyle w:val="TableContents"/>
              <w:bidi w:val="0"/>
              <w:spacing w:lineRule="atLeast" w:line="200" w:before="0" w:after="0"/>
              <w:jc w:val="left"/>
              <w:rPr/>
            </w:pPr>
            <w:hyperlink r:id="rId67">
              <w:r>
                <w:rPr>
                  <w:rStyle w:val="InternetLink"/>
                  <w:rFonts w:ascii="Times New Roman;serif" w:hAnsi="Times New Roman;serif"/>
                  <w:b w:val="false"/>
                  <w:i w:val="false"/>
                  <w:caps w:val="false"/>
                  <w:smallCaps w:val="false"/>
                  <w:color w:val="0000FF"/>
                  <w:sz w:val="20"/>
                  <w:u w:val="single"/>
                </w:rPr>
                <w:t xml:space="preserve">Form of Award Agreement pursuant to the Company’s Incentive Plans (incorporated by reference to the Company’s </w:t>
              </w:r>
            </w:hyperlink>
          </w:p>
          <w:p>
            <w:pPr>
              <w:pStyle w:val="TableContents"/>
              <w:bidi w:val="0"/>
              <w:spacing w:lineRule="atLeast" w:line="200" w:before="0" w:after="0"/>
              <w:jc w:val="left"/>
              <w:rPr/>
            </w:pPr>
            <w:hyperlink r:id="rId68">
              <w:r>
                <w:rPr>
                  <w:rStyle w:val="InternetLink"/>
                  <w:rFonts w:ascii="Times New Roman;serif" w:hAnsi="Times New Roman;serif"/>
                  <w:b w:val="false"/>
                  <w:i w:val="false"/>
                  <w:caps w:val="false"/>
                  <w:smallCaps w:val="false"/>
                  <w:color w:val="0000FF"/>
                  <w:sz w:val="20"/>
                  <w:u w:val="single"/>
                </w:rPr>
                <w:t>Annual Report on Form 10-K (No. 001-13459), filed February 28,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10.14†</w:t>
            </w:r>
          </w:p>
        </w:tc>
        <w:tc>
          <w:tcPr>
            <w:tcW w:w="9516" w:type="dxa"/>
            <w:tcBorders/>
            <w:vAlign w:val="center"/>
          </w:tcPr>
          <w:p>
            <w:pPr>
              <w:pStyle w:val="TableContents"/>
              <w:bidi w:val="0"/>
              <w:spacing w:lineRule="atLeast" w:line="200" w:before="0" w:after="0"/>
              <w:jc w:val="left"/>
              <w:rPr/>
            </w:pPr>
            <w:hyperlink r:id="rId69">
              <w:r>
                <w:rPr>
                  <w:rStyle w:val="InternetLink"/>
                  <w:rFonts w:ascii="Times New Roman;serif" w:hAnsi="Times New Roman;serif"/>
                  <w:b w:val="false"/>
                  <w:i w:val="false"/>
                  <w:caps w:val="false"/>
                  <w:smallCaps w:val="false"/>
                  <w:color w:val="0000FF"/>
                  <w:sz w:val="20"/>
                  <w:u w:val="single"/>
                </w:rPr>
                <w:t xml:space="preserve">Form of Award Agreement pursuant to the Company’s Deferred Compensation Plan (incorporated by reference to </w:t>
              </w:r>
            </w:hyperlink>
          </w:p>
          <w:p>
            <w:pPr>
              <w:pStyle w:val="TableContents"/>
              <w:bidi w:val="0"/>
              <w:spacing w:lineRule="atLeast" w:line="200" w:before="0" w:after="0"/>
              <w:jc w:val="left"/>
              <w:rPr/>
            </w:pPr>
            <w:hyperlink r:id="rId70">
              <w:r>
                <w:rPr>
                  <w:rStyle w:val="InternetLink"/>
                  <w:rFonts w:ascii="Times New Roman;serif" w:hAnsi="Times New Roman;serif"/>
                  <w:b w:val="false"/>
                  <w:i w:val="false"/>
                  <w:caps w:val="false"/>
                  <w:smallCaps w:val="false"/>
                  <w:color w:val="0000FF"/>
                  <w:sz w:val="20"/>
                  <w:u w:val="single"/>
                </w:rPr>
                <w:t>the Company’s Annual Report on Form 10-K (No. 001-13459), filed February 28,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10.15†</w:t>
            </w:r>
          </w:p>
        </w:tc>
        <w:tc>
          <w:tcPr>
            <w:tcW w:w="9516" w:type="dxa"/>
            <w:tcBorders/>
            <w:vAlign w:val="center"/>
          </w:tcPr>
          <w:p>
            <w:pPr>
              <w:pStyle w:val="TableContents"/>
              <w:bidi w:val="0"/>
              <w:spacing w:lineRule="atLeast" w:line="200" w:before="0" w:after="0"/>
              <w:jc w:val="left"/>
              <w:rPr/>
            </w:pPr>
            <w:hyperlink r:id="rId71">
              <w:r>
                <w:rPr>
                  <w:rStyle w:val="InternetLink"/>
                  <w:rFonts w:ascii="Times New Roman;serif" w:hAnsi="Times New Roman;serif"/>
                  <w:b w:val="false"/>
                  <w:i w:val="false"/>
                  <w:caps w:val="false"/>
                  <w:smallCaps w:val="false"/>
                  <w:color w:val="0000FF"/>
                  <w:sz w:val="20"/>
                  <w:u w:val="single"/>
                </w:rPr>
                <w:t xml:space="preserve">Form of Award Agreement pursuant to the Company’s Executive Incentive and 2013 Incentive Stock Award Plans </w:t>
              </w:r>
            </w:hyperlink>
          </w:p>
          <w:p>
            <w:pPr>
              <w:pStyle w:val="TableContents"/>
              <w:bidi w:val="0"/>
              <w:spacing w:lineRule="atLeast" w:line="200" w:before="0" w:after="0"/>
              <w:jc w:val="left"/>
              <w:rPr/>
            </w:pPr>
            <w:hyperlink r:id="rId72">
              <w:r>
                <w:rPr>
                  <w:rStyle w:val="InternetLink"/>
                  <w:rFonts w:ascii="Times New Roman;serif" w:hAnsi="Times New Roman;serif"/>
                  <w:b w:val="false"/>
                  <w:i w:val="false"/>
                  <w:caps w:val="false"/>
                  <w:smallCaps w:val="false"/>
                  <w:color w:val="0000FF"/>
                  <w:sz w:val="20"/>
                  <w:u w:val="single"/>
                </w:rPr>
                <w:t xml:space="preserve">(incorporated by reference to the Company’s Annual Report on Form 10-K (No. 001-13459), filed February 27, </w:t>
              </w:r>
            </w:hyperlink>
          </w:p>
          <w:p>
            <w:pPr>
              <w:pStyle w:val="TableContents"/>
              <w:bidi w:val="0"/>
              <w:spacing w:lineRule="atLeast" w:line="200" w:before="0" w:after="0"/>
              <w:jc w:val="left"/>
              <w:rPr/>
            </w:pPr>
            <w:hyperlink r:id="rId73">
              <w:r>
                <w:rPr>
                  <w:rStyle w:val="InternetLink"/>
                  <w:rFonts w:ascii="Times New Roman;serif" w:hAnsi="Times New Roman;serif"/>
                  <w:b w:val="false"/>
                  <w:i w:val="false"/>
                  <w:caps w:val="false"/>
                  <w:smallCaps w:val="false"/>
                  <w:color w:val="0000FF"/>
                  <w:sz w:val="20"/>
                  <w:u w:val="single"/>
                </w:rPr>
                <w:t>2014)</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10.16†</w:t>
            </w:r>
          </w:p>
        </w:tc>
        <w:tc>
          <w:tcPr>
            <w:tcW w:w="9516" w:type="dxa"/>
            <w:tcBorders/>
            <w:vAlign w:val="center"/>
          </w:tcPr>
          <w:p>
            <w:pPr>
              <w:pStyle w:val="TableContents"/>
              <w:bidi w:val="0"/>
              <w:spacing w:lineRule="atLeast" w:line="200" w:before="0" w:after="0"/>
              <w:jc w:val="left"/>
              <w:rPr/>
            </w:pPr>
            <w:hyperlink r:id="rId74">
              <w:r>
                <w:rPr>
                  <w:rStyle w:val="InternetLink"/>
                  <w:rFonts w:ascii="Times New Roman;serif" w:hAnsi="Times New Roman;serif"/>
                  <w:b w:val="false"/>
                  <w:i w:val="false"/>
                  <w:caps w:val="false"/>
                  <w:smallCaps w:val="false"/>
                  <w:color w:val="0000FF"/>
                  <w:sz w:val="20"/>
                  <w:u w:val="single"/>
                </w:rPr>
                <w:t xml:space="preserve">Form of Restricted Stock Unit Award Agreement pursuant to the Company’s 2020 Equity Incentive Plan </w:t>
              </w:r>
            </w:hyperlink>
          </w:p>
          <w:p>
            <w:pPr>
              <w:pStyle w:val="TableContents"/>
              <w:bidi w:val="0"/>
              <w:spacing w:lineRule="atLeast" w:line="200" w:before="0" w:after="0"/>
              <w:jc w:val="left"/>
              <w:rPr/>
            </w:pPr>
            <w:hyperlink r:id="rId75">
              <w:r>
                <w:rPr>
                  <w:rStyle w:val="InternetLink"/>
                  <w:rFonts w:ascii="Times New Roman;serif" w:hAnsi="Times New Roman;serif"/>
                  <w:b w:val="false"/>
                  <w:i w:val="false"/>
                  <w:caps w:val="false"/>
                  <w:smallCaps w:val="false"/>
                  <w:color w:val="0000FF"/>
                  <w:sz w:val="20"/>
                  <w:u w:val="single"/>
                </w:rPr>
                <w:t>(incorporated by reference to the Company’s Quarterly Report on Form 10-Q (No. 001-13459), filed May 7, 2021)</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10.17†</w:t>
            </w:r>
          </w:p>
        </w:tc>
        <w:tc>
          <w:tcPr>
            <w:tcW w:w="9516" w:type="dxa"/>
            <w:tcBorders/>
            <w:vAlign w:val="center"/>
          </w:tcPr>
          <w:p>
            <w:pPr>
              <w:pStyle w:val="TableContents"/>
              <w:bidi w:val="0"/>
              <w:spacing w:lineRule="atLeast" w:line="200" w:before="0" w:after="0"/>
              <w:jc w:val="left"/>
              <w:rPr/>
            </w:pPr>
            <w:hyperlink r:id="rId76">
              <w:r>
                <w:rPr>
                  <w:rStyle w:val="InternetLink"/>
                  <w:rFonts w:ascii="Times New Roman;serif" w:hAnsi="Times New Roman;serif"/>
                  <w:b w:val="false"/>
                  <w:i w:val="false"/>
                  <w:caps w:val="false"/>
                  <w:smallCaps w:val="false"/>
                  <w:color w:val="0000FF"/>
                  <w:sz w:val="20"/>
                  <w:u w:val="single"/>
                </w:rPr>
                <w:t xml:space="preserve">Form of Director Restricted Stock Unit Award Agreement pursuant to the Company’s 2020 Equity Incentive Plan </w:t>
              </w:r>
            </w:hyperlink>
          </w:p>
          <w:p>
            <w:pPr>
              <w:pStyle w:val="TableContents"/>
              <w:bidi w:val="0"/>
              <w:spacing w:lineRule="atLeast" w:line="200" w:before="0" w:after="0"/>
              <w:jc w:val="left"/>
              <w:rPr/>
            </w:pPr>
            <w:hyperlink r:id="rId77">
              <w:r>
                <w:rPr>
                  <w:rStyle w:val="InternetLink"/>
                  <w:rFonts w:ascii="Times New Roman;serif" w:hAnsi="Times New Roman;serif"/>
                  <w:b w:val="false"/>
                  <w:i w:val="false"/>
                  <w:caps w:val="false"/>
                  <w:smallCaps w:val="false"/>
                  <w:color w:val="0000FF"/>
                  <w:sz w:val="20"/>
                  <w:u w:val="single"/>
                </w:rPr>
                <w:t xml:space="preserve">(incorporated by reference to the Company’s Annual Report on Form 10-K (No. 001-13459), filed February 16, </w:t>
              </w:r>
            </w:hyperlink>
          </w:p>
          <w:p>
            <w:pPr>
              <w:pStyle w:val="TableContents"/>
              <w:bidi w:val="0"/>
              <w:spacing w:lineRule="atLeast" w:line="200" w:before="0" w:after="0"/>
              <w:jc w:val="left"/>
              <w:rPr/>
            </w:pPr>
            <w:hyperlink r:id="rId78">
              <w:r>
                <w:rPr>
                  <w:rStyle w:val="InternetLink"/>
                  <w:rFonts w:ascii="Times New Roman;serif" w:hAnsi="Times New Roman;serif"/>
                  <w:b w:val="false"/>
                  <w:i w:val="false"/>
                  <w:caps w:val="false"/>
                  <w:smallCaps w:val="false"/>
                  <w:color w:val="0000FF"/>
                  <w:sz w:val="20"/>
                  <w:u w:val="single"/>
                </w:rPr>
                <w:t>2024)</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10.18†</w:t>
            </w:r>
          </w:p>
        </w:tc>
        <w:tc>
          <w:tcPr>
            <w:tcW w:w="9516" w:type="dxa"/>
            <w:tcBorders/>
            <w:vAlign w:val="center"/>
          </w:tcPr>
          <w:p>
            <w:pPr>
              <w:pStyle w:val="TableContents"/>
              <w:bidi w:val="0"/>
              <w:spacing w:lineRule="atLeast" w:line="200" w:before="0" w:after="0"/>
              <w:jc w:val="left"/>
              <w:rPr/>
            </w:pPr>
            <w:hyperlink r:id="rId79">
              <w:r>
                <w:rPr>
                  <w:rStyle w:val="InternetLink"/>
                  <w:rFonts w:ascii="Times New Roman;serif" w:hAnsi="Times New Roman;serif"/>
                  <w:b w:val="false"/>
                  <w:i w:val="false"/>
                  <w:caps w:val="false"/>
                  <w:smallCaps w:val="false"/>
                  <w:color w:val="0000FF"/>
                  <w:sz w:val="20"/>
                  <w:u w:val="single"/>
                </w:rPr>
                <w:t xml:space="preserve">Form of Stock Option Award Agreement pursuant to the Company’s 2020 Equity Incentive Plan (incorporated by </w:t>
              </w:r>
            </w:hyperlink>
          </w:p>
          <w:p>
            <w:pPr>
              <w:pStyle w:val="TableContents"/>
              <w:bidi w:val="0"/>
              <w:spacing w:lineRule="atLeast" w:line="200" w:before="0" w:after="0"/>
              <w:jc w:val="left"/>
              <w:rPr/>
            </w:pPr>
            <w:hyperlink r:id="rId80">
              <w:r>
                <w:rPr>
                  <w:rStyle w:val="InternetLink"/>
                  <w:rFonts w:ascii="Times New Roman;serif" w:hAnsi="Times New Roman;serif"/>
                  <w:b w:val="false"/>
                  <w:i w:val="false"/>
                  <w:caps w:val="false"/>
                  <w:smallCaps w:val="false"/>
                  <w:color w:val="0000FF"/>
                  <w:sz w:val="20"/>
                  <w:u w:val="single"/>
                </w:rPr>
                <w:t>reference to the Company’s Annual Report on Form 10-K (No. 001-13459), filed February 16, 2024)</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10.19†</w:t>
            </w:r>
          </w:p>
        </w:tc>
        <w:tc>
          <w:tcPr>
            <w:tcW w:w="9516" w:type="dxa"/>
            <w:tcBorders/>
            <w:vAlign w:val="center"/>
          </w:tcPr>
          <w:p>
            <w:pPr>
              <w:pStyle w:val="TableContents"/>
              <w:bidi w:val="0"/>
              <w:spacing w:lineRule="atLeast" w:line="200" w:before="0" w:after="0"/>
              <w:jc w:val="left"/>
              <w:rPr/>
            </w:pPr>
            <w:hyperlink r:id="rId81">
              <w:r>
                <w:rPr>
                  <w:rStyle w:val="InternetLink"/>
                  <w:rFonts w:ascii="Times New Roman;serif" w:hAnsi="Times New Roman;serif"/>
                  <w:b w:val="false"/>
                  <w:i w:val="false"/>
                  <w:caps w:val="false"/>
                  <w:smallCaps w:val="false"/>
                  <w:color w:val="0000FF"/>
                  <w:sz w:val="20"/>
                  <w:u w:val="single"/>
                </w:rPr>
                <w:t xml:space="preserve">Form of Director Stock Option Award Agreement pursuant to the Company’s 2020 Equity Incentive Plan </w:t>
              </w:r>
            </w:hyperlink>
          </w:p>
          <w:p>
            <w:pPr>
              <w:pStyle w:val="TableContents"/>
              <w:bidi w:val="0"/>
              <w:spacing w:lineRule="atLeast" w:line="200" w:before="0" w:after="0"/>
              <w:jc w:val="left"/>
              <w:rPr/>
            </w:pPr>
            <w:hyperlink r:id="rId82">
              <w:r>
                <w:rPr>
                  <w:rStyle w:val="InternetLink"/>
                  <w:rFonts w:ascii="Times New Roman;serif" w:hAnsi="Times New Roman;serif"/>
                  <w:b w:val="false"/>
                  <w:i w:val="false"/>
                  <w:caps w:val="false"/>
                  <w:smallCaps w:val="false"/>
                  <w:color w:val="0000FF"/>
                  <w:sz w:val="20"/>
                  <w:u w:val="single"/>
                </w:rPr>
                <w:t>(incorporated by reference to the Company’s Quarterly Report on Form 10-Q (No. 001-13459), filed July 31, 2020)</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10.20†</w:t>
            </w:r>
          </w:p>
        </w:tc>
        <w:tc>
          <w:tcPr>
            <w:tcW w:w="9516" w:type="dxa"/>
            <w:tcBorders/>
            <w:vAlign w:val="center"/>
          </w:tcPr>
          <w:p>
            <w:pPr>
              <w:pStyle w:val="TableContents"/>
              <w:bidi w:val="0"/>
              <w:spacing w:lineRule="atLeast" w:line="200" w:before="0" w:after="0"/>
              <w:jc w:val="left"/>
              <w:rPr/>
            </w:pPr>
            <w:hyperlink r:id="rId83">
              <w:r>
                <w:rPr>
                  <w:rStyle w:val="InternetLink"/>
                  <w:rFonts w:ascii="Times New Roman;serif" w:hAnsi="Times New Roman;serif"/>
                  <w:b w:val="false"/>
                  <w:i w:val="false"/>
                  <w:caps w:val="false"/>
                  <w:smallCaps w:val="false"/>
                  <w:color w:val="0000FF"/>
                  <w:sz w:val="20"/>
                  <w:u w:val="single"/>
                </w:rPr>
                <w:t xml:space="preserve">Form of Indemnification Agreement between the Company and each Director and Executive Officer (incorporated </w:t>
              </w:r>
            </w:hyperlink>
          </w:p>
          <w:p>
            <w:pPr>
              <w:pStyle w:val="TableContents"/>
              <w:bidi w:val="0"/>
              <w:spacing w:lineRule="atLeast" w:line="200" w:before="0" w:after="0"/>
              <w:jc w:val="left"/>
              <w:rPr/>
            </w:pPr>
            <w:hyperlink r:id="rId84">
              <w:r>
                <w:rPr>
                  <w:rStyle w:val="InternetLink"/>
                  <w:rFonts w:ascii="Times New Roman;serif" w:hAnsi="Times New Roman;serif"/>
                  <w:b w:val="false"/>
                  <w:i w:val="false"/>
                  <w:caps w:val="false"/>
                  <w:smallCaps w:val="false"/>
                  <w:color w:val="0000FF"/>
                  <w:sz w:val="20"/>
                  <w:u w:val="single"/>
                </w:rPr>
                <w:t xml:space="preserve">by reference to the Company’s Annual Report on Form 10-K (No. 001-13459), filed March 1, 2011) </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10.21</w:t>
            </w:r>
          </w:p>
        </w:tc>
        <w:tc>
          <w:tcPr>
            <w:tcW w:w="9516" w:type="dxa"/>
            <w:tcBorders/>
            <w:vAlign w:val="center"/>
          </w:tcPr>
          <w:p>
            <w:pPr>
              <w:pStyle w:val="TableContents"/>
              <w:bidi w:val="0"/>
              <w:spacing w:lineRule="atLeast" w:line="200" w:before="0" w:after="0"/>
              <w:jc w:val="left"/>
              <w:rPr/>
            </w:pPr>
            <w:hyperlink r:id="rId85">
              <w:r>
                <w:rPr>
                  <w:rStyle w:val="InternetLink"/>
                  <w:rFonts w:ascii="Times New Roman;serif" w:hAnsi="Times New Roman;serif"/>
                  <w:b w:val="false"/>
                  <w:i w:val="false"/>
                  <w:caps w:val="false"/>
                  <w:smallCaps w:val="false"/>
                  <w:color w:val="0000FF"/>
                  <w:sz w:val="20"/>
                  <w:u w:val="single"/>
                </w:rPr>
                <w:t xml:space="preserve">Third Amended and Restated Credit Agreement, dated as of November 15, 2024, by and among the Company, </w:t>
              </w:r>
            </w:hyperlink>
          </w:p>
          <w:p>
            <w:pPr>
              <w:pStyle w:val="TableContents"/>
              <w:bidi w:val="0"/>
              <w:spacing w:lineRule="atLeast" w:line="200" w:before="0" w:after="0"/>
              <w:jc w:val="left"/>
              <w:rPr/>
            </w:pPr>
            <w:hyperlink r:id="rId86">
              <w:r>
                <w:rPr>
                  <w:rStyle w:val="InternetLink"/>
                  <w:rFonts w:ascii="Times New Roman;serif" w:hAnsi="Times New Roman;serif"/>
                  <w:b w:val="false"/>
                  <w:i w:val="false"/>
                  <w:caps w:val="false"/>
                  <w:smallCaps w:val="false"/>
                  <w:color w:val="0000FF"/>
                  <w:sz w:val="20"/>
                  <w:u w:val="single"/>
                </w:rPr>
                <w:t xml:space="preserve">Bank of America, N.A., as administrative agent, letter of credit issuer and swingline lender, and the other lending </w:t>
              </w:r>
            </w:hyperlink>
          </w:p>
          <w:p>
            <w:pPr>
              <w:pStyle w:val="TableContents"/>
              <w:bidi w:val="0"/>
              <w:spacing w:lineRule="atLeast" w:line="200" w:before="0" w:after="0"/>
              <w:jc w:val="left"/>
              <w:rPr/>
            </w:pPr>
            <w:hyperlink r:id="rId87">
              <w:r>
                <w:rPr>
                  <w:rStyle w:val="InternetLink"/>
                  <w:rFonts w:ascii="Times New Roman;serif" w:hAnsi="Times New Roman;serif"/>
                  <w:b w:val="false"/>
                  <w:i w:val="false"/>
                  <w:caps w:val="false"/>
                  <w:smallCaps w:val="false"/>
                  <w:color w:val="0000FF"/>
                  <w:sz w:val="20"/>
                  <w:u w:val="single"/>
                </w:rPr>
                <w:t>institutions from time to time party thereto (incorporated by reference to the Company’s Current Report on Form 8-</w:t>
              </w:r>
            </w:hyperlink>
          </w:p>
          <w:p>
            <w:pPr>
              <w:pStyle w:val="TableContents"/>
              <w:bidi w:val="0"/>
              <w:spacing w:lineRule="atLeast" w:line="200" w:before="0" w:after="0"/>
              <w:jc w:val="left"/>
              <w:rPr/>
            </w:pPr>
            <w:hyperlink r:id="rId88">
              <w:r>
                <w:rPr>
                  <w:rStyle w:val="InternetLink"/>
                  <w:rFonts w:ascii="Times New Roman;serif" w:hAnsi="Times New Roman;serif"/>
                  <w:b w:val="false"/>
                  <w:i w:val="false"/>
                  <w:caps w:val="false"/>
                  <w:smallCaps w:val="false"/>
                  <w:color w:val="0000FF"/>
                  <w:sz w:val="20"/>
                  <w:u w:val="single"/>
                </w:rPr>
                <w:t xml:space="preserve">K (No. 001-13459), filed November 15, 2024) </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10.22</w:t>
            </w:r>
          </w:p>
        </w:tc>
        <w:tc>
          <w:tcPr>
            <w:tcW w:w="9516" w:type="dxa"/>
            <w:tcBorders/>
            <w:vAlign w:val="center"/>
          </w:tcPr>
          <w:p>
            <w:pPr>
              <w:pStyle w:val="TableContents"/>
              <w:bidi w:val="0"/>
              <w:spacing w:lineRule="atLeast" w:line="200" w:before="0" w:after="0"/>
              <w:jc w:val="left"/>
              <w:rPr/>
            </w:pPr>
            <w:hyperlink r:id="rId89">
              <w:r>
                <w:rPr>
                  <w:rStyle w:val="InternetLink"/>
                  <w:rFonts w:ascii="Times New Roman;serif" w:hAnsi="Times New Roman;serif"/>
                  <w:b w:val="false"/>
                  <w:i w:val="false"/>
                  <w:caps w:val="false"/>
                  <w:smallCaps w:val="false"/>
                  <w:color w:val="0000FF"/>
                  <w:sz w:val="20"/>
                  <w:u w:val="single"/>
                </w:rPr>
                <w:t xml:space="preserve">Equity Distribution Agreement, dated as of March 7, 2025, by and among the Company and the Agents, Forward </w:t>
              </w:r>
            </w:hyperlink>
          </w:p>
          <w:p>
            <w:pPr>
              <w:pStyle w:val="TableContents"/>
              <w:bidi w:val="0"/>
              <w:spacing w:lineRule="atLeast" w:line="200" w:before="0" w:after="0"/>
              <w:jc w:val="left"/>
              <w:rPr/>
            </w:pPr>
            <w:hyperlink r:id="rId90">
              <w:r>
                <w:rPr>
                  <w:rStyle w:val="InternetLink"/>
                  <w:rFonts w:ascii="Times New Roman;serif" w:hAnsi="Times New Roman;serif"/>
                  <w:b w:val="false"/>
                  <w:i w:val="false"/>
                  <w:caps w:val="false"/>
                  <w:smallCaps w:val="false"/>
                  <w:color w:val="0000FF"/>
                  <w:sz w:val="20"/>
                  <w:u w:val="single"/>
                </w:rPr>
                <w:t xml:space="preserve">Sellers, and Forward Purchasers named therein (incorporated by reference to the Company’s Current Report on </w:t>
              </w:r>
            </w:hyperlink>
          </w:p>
          <w:p>
            <w:pPr>
              <w:pStyle w:val="TableContents"/>
              <w:bidi w:val="0"/>
              <w:spacing w:lineRule="atLeast" w:line="200" w:before="0" w:after="0"/>
              <w:jc w:val="left"/>
              <w:rPr/>
            </w:pPr>
            <w:hyperlink r:id="rId91">
              <w:r>
                <w:rPr>
                  <w:rStyle w:val="InternetLink"/>
                  <w:rFonts w:ascii="Times New Roman;serif" w:hAnsi="Times New Roman;serif"/>
                  <w:b w:val="false"/>
                  <w:i w:val="false"/>
                  <w:caps w:val="false"/>
                  <w:smallCaps w:val="false"/>
                  <w:color w:val="0000FF"/>
                  <w:sz w:val="20"/>
                  <w:u w:val="single"/>
                </w:rPr>
                <w:t>Form 8-K (No. 001-13459), filed March 7, 2025)</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10.23</w:t>
            </w:r>
          </w:p>
        </w:tc>
        <w:tc>
          <w:tcPr>
            <w:tcW w:w="9516" w:type="dxa"/>
            <w:tcBorders/>
            <w:vAlign w:val="center"/>
          </w:tcPr>
          <w:p>
            <w:pPr>
              <w:pStyle w:val="TableContents"/>
              <w:bidi w:val="0"/>
              <w:spacing w:lineRule="atLeast" w:line="200" w:before="0" w:after="0"/>
              <w:jc w:val="left"/>
              <w:rPr/>
            </w:pPr>
            <w:hyperlink r:id="rId92">
              <w:r>
                <w:rPr>
                  <w:rStyle w:val="InternetLink"/>
                  <w:rFonts w:ascii="Times New Roman;serif" w:hAnsi="Times New Roman;serif"/>
                  <w:b w:val="false"/>
                  <w:i w:val="false"/>
                  <w:caps w:val="false"/>
                  <w:smallCaps w:val="false"/>
                  <w:color w:val="0000FF"/>
                  <w:sz w:val="20"/>
                  <w:u w:val="single"/>
                </w:rPr>
                <w:t xml:space="preserve">Form of Forward Sale Agreement, dated as of March 7, 2025, pursuant to the Equity Distribution Agreement </w:t>
              </w:r>
            </w:hyperlink>
          </w:p>
          <w:p>
            <w:pPr>
              <w:pStyle w:val="TableContents"/>
              <w:bidi w:val="0"/>
              <w:spacing w:lineRule="atLeast" w:line="200" w:before="0" w:after="0"/>
              <w:jc w:val="left"/>
              <w:rPr/>
            </w:pPr>
            <w:hyperlink r:id="rId93">
              <w:r>
                <w:rPr>
                  <w:rStyle w:val="InternetLink"/>
                  <w:rFonts w:ascii="Times New Roman;serif" w:hAnsi="Times New Roman;serif"/>
                  <w:b w:val="false"/>
                  <w:i w:val="false"/>
                  <w:caps w:val="false"/>
                  <w:smallCaps w:val="false"/>
                  <w:color w:val="0000FF"/>
                  <w:sz w:val="20"/>
                  <w:u w:val="single"/>
                </w:rPr>
                <w:t>(incorporated by reference to the Company’s Current Report on Form 8-K (No. 001-13459), filed March 7, 2025)</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19</w:t>
            </w:r>
          </w:p>
        </w:tc>
        <w:tc>
          <w:tcPr>
            <w:tcW w:w="9516" w:type="dxa"/>
            <w:tcBorders/>
            <w:vAlign w:val="center"/>
          </w:tcPr>
          <w:p>
            <w:pPr>
              <w:pStyle w:val="TableContents"/>
              <w:bidi w:val="0"/>
              <w:spacing w:lineRule="atLeast" w:line="200" w:before="0" w:after="0"/>
              <w:jc w:val="left"/>
              <w:rPr/>
            </w:pPr>
            <w:hyperlink w:anchor="amg_exhibit19x12312025.htm">
              <w:r>
                <w:rPr>
                  <w:rStyle w:val="InternetLink"/>
                  <w:rFonts w:ascii="Times New Roman;serif" w:hAnsi="Times New Roman;serif"/>
                  <w:b w:val="false"/>
                  <w:i w:val="false"/>
                  <w:caps w:val="false"/>
                  <w:smallCaps w:val="false"/>
                  <w:color w:val="0000FF"/>
                  <w:sz w:val="20"/>
                  <w:u w:val="single"/>
                </w:rPr>
                <w:t>Insider Trading Policy and Procedures of the Company*</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21</w:t>
            </w:r>
          </w:p>
        </w:tc>
        <w:tc>
          <w:tcPr>
            <w:tcW w:w="9516" w:type="dxa"/>
            <w:tcBorders/>
            <w:vAlign w:val="center"/>
          </w:tcPr>
          <w:p>
            <w:pPr>
              <w:pStyle w:val="TableContents"/>
              <w:bidi w:val="0"/>
              <w:spacing w:lineRule="atLeast" w:line="200" w:before="0" w:after="0"/>
              <w:jc w:val="left"/>
              <w:rPr/>
            </w:pPr>
            <w:hyperlink w:anchor="amg_exhibit21x12312025.htm">
              <w:r>
                <w:rPr>
                  <w:rStyle w:val="InternetLink"/>
                  <w:rFonts w:ascii="Times New Roman;serif" w:hAnsi="Times New Roman;serif"/>
                  <w:b w:val="false"/>
                  <w:i w:val="false"/>
                  <w:caps w:val="false"/>
                  <w:smallCaps w:val="false"/>
                  <w:color w:val="0000FF"/>
                  <w:sz w:val="20"/>
                  <w:u w:val="single"/>
                </w:rPr>
                <w:t>Schedule of Subsidiaries*</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9516" w:type="dxa"/>
            <w:tcBorders/>
            <w:vAlign w:val="center"/>
          </w:tcPr>
          <w:p>
            <w:pPr>
              <w:pStyle w:val="TableContents"/>
              <w:bidi w:val="0"/>
              <w:spacing w:lineRule="atLeast" w:line="200" w:before="0" w:after="0"/>
              <w:jc w:val="left"/>
              <w:rPr/>
            </w:pPr>
            <w:hyperlink w:anchor="amg_exhibit23x12312025.htm">
              <w:r>
                <w:rPr>
                  <w:rStyle w:val="InternetLink"/>
                  <w:rFonts w:ascii="Times New Roman;serif" w:hAnsi="Times New Roman;serif"/>
                  <w:b w:val="false"/>
                  <w:i w:val="false"/>
                  <w:caps w:val="false"/>
                  <w:smallCaps w:val="false"/>
                  <w:color w:val="0000FF"/>
                  <w:sz w:val="20"/>
                  <w:u w:val="single"/>
                </w:rPr>
                <w:t>Consent of PricewaterhouseCoopers LLP*</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31.1</w:t>
            </w:r>
          </w:p>
        </w:tc>
        <w:tc>
          <w:tcPr>
            <w:tcW w:w="9516" w:type="dxa"/>
            <w:tcBorders/>
            <w:vAlign w:val="center"/>
          </w:tcPr>
          <w:p>
            <w:pPr>
              <w:pStyle w:val="TableContents"/>
              <w:bidi w:val="0"/>
              <w:spacing w:lineRule="atLeast" w:line="200" w:before="0" w:after="0"/>
              <w:jc w:val="left"/>
              <w:rPr/>
            </w:pPr>
            <w:hyperlink w:anchor="amg_exhibit311x12312025.htm">
              <w:r>
                <w:rPr>
                  <w:rStyle w:val="InternetLink"/>
                  <w:rFonts w:ascii="Times New Roman;serif" w:hAnsi="Times New Roman;serif"/>
                  <w:b w:val="false"/>
                  <w:i w:val="false"/>
                  <w:caps w:val="false"/>
                  <w:smallCaps w:val="false"/>
                  <w:color w:val="0000FF"/>
                  <w:sz w:val="20"/>
                  <w:u w:val="single"/>
                </w:rPr>
                <w:t>Certification of Registrant’s Chief Executive Officer pursuant to Section 302 of the Sarbanes</w:t>
                <w:noBreakHyphen/>
                <w:t>Oxley Act of 2002*</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31.2</w:t>
            </w:r>
          </w:p>
        </w:tc>
        <w:tc>
          <w:tcPr>
            <w:tcW w:w="9516" w:type="dxa"/>
            <w:tcBorders/>
            <w:vAlign w:val="center"/>
          </w:tcPr>
          <w:p>
            <w:pPr>
              <w:pStyle w:val="TableContents"/>
              <w:bidi w:val="0"/>
              <w:spacing w:lineRule="atLeast" w:line="200" w:before="0" w:after="0"/>
              <w:jc w:val="left"/>
              <w:rPr/>
            </w:pPr>
            <w:hyperlink w:anchor="amg_exhibit312x12312025.htm">
              <w:r>
                <w:rPr>
                  <w:rStyle w:val="InternetLink"/>
                  <w:rFonts w:ascii="Times New Roman;serif" w:hAnsi="Times New Roman;serif"/>
                  <w:b w:val="false"/>
                  <w:i w:val="false"/>
                  <w:caps w:val="false"/>
                  <w:smallCaps w:val="false"/>
                  <w:color w:val="0000FF"/>
                  <w:sz w:val="20"/>
                  <w:u w:val="single"/>
                </w:rPr>
                <w:t>Certification of Registrant’s Chief Financial Officer pursuant to Section 302 of the Sarbanes</w:t>
                <w:noBreakHyphen/>
                <w:t>Oxley Act of 2002*</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32.1</w:t>
            </w:r>
          </w:p>
        </w:tc>
        <w:tc>
          <w:tcPr>
            <w:tcW w:w="9516" w:type="dxa"/>
            <w:tcBorders/>
            <w:vAlign w:val="center"/>
          </w:tcPr>
          <w:p>
            <w:pPr>
              <w:pStyle w:val="TableContents"/>
              <w:bidi w:val="0"/>
              <w:spacing w:lineRule="atLeast" w:line="200" w:before="0" w:after="0"/>
              <w:jc w:val="left"/>
              <w:rPr/>
            </w:pPr>
            <w:hyperlink w:anchor="amg_exhibit321x12312025.htm">
              <w:r>
                <w:rPr>
                  <w:rStyle w:val="InternetLink"/>
                  <w:rFonts w:ascii="Times New Roman;serif" w:hAnsi="Times New Roman;serif"/>
                  <w:b w:val="false"/>
                  <w:i w:val="false"/>
                  <w:caps w:val="false"/>
                  <w:smallCaps w:val="false"/>
                  <w:color w:val="0000FF"/>
                  <w:sz w:val="20"/>
                  <w:u w:val="single"/>
                </w:rPr>
                <w:t>Certification of Registrant’s Chief Executive Officer pursuant to Section 906 of the Sarbanes</w:t>
                <w:noBreakHyphen/>
                <w:t>Oxley Act of 2002**</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32.2</w:t>
            </w:r>
          </w:p>
        </w:tc>
        <w:tc>
          <w:tcPr>
            <w:tcW w:w="9516" w:type="dxa"/>
            <w:tcBorders/>
            <w:vAlign w:val="center"/>
          </w:tcPr>
          <w:p>
            <w:pPr>
              <w:pStyle w:val="TableContents"/>
              <w:bidi w:val="0"/>
              <w:spacing w:lineRule="atLeast" w:line="200" w:before="0" w:after="0"/>
              <w:jc w:val="left"/>
              <w:rPr/>
            </w:pPr>
            <w:hyperlink w:anchor="amg_exhibit322x12312025.htm">
              <w:r>
                <w:rPr>
                  <w:rStyle w:val="InternetLink"/>
                  <w:rFonts w:ascii="Times New Roman;serif" w:hAnsi="Times New Roman;serif"/>
                  <w:b w:val="false"/>
                  <w:i w:val="false"/>
                  <w:caps w:val="false"/>
                  <w:smallCaps w:val="false"/>
                  <w:color w:val="0000FF"/>
                  <w:sz w:val="20"/>
                  <w:u w:val="single"/>
                </w:rPr>
                <w:t>Certification of Registrant’s Chief Financial Officer pursuant to Section 906 of the Sarbanes</w:t>
                <w:noBreakHyphen/>
                <w:t>Oxley Act of 2002**</w:t>
              </w:r>
            </w:hyperlink>
          </w:p>
        </w:tc>
      </w:tr>
      <w:tr>
        <w:trPr/>
        <w:tc>
          <w:tcPr>
            <w:tcW w:w="689"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97</w:t>
            </w:r>
          </w:p>
        </w:tc>
        <w:tc>
          <w:tcPr>
            <w:tcW w:w="9516" w:type="dxa"/>
            <w:tcBorders/>
            <w:vAlign w:val="center"/>
          </w:tcPr>
          <w:p>
            <w:pPr>
              <w:pStyle w:val="TableContents"/>
              <w:bidi w:val="0"/>
              <w:spacing w:lineRule="atLeast" w:line="200" w:before="0" w:after="0"/>
              <w:jc w:val="left"/>
              <w:rPr/>
            </w:pPr>
            <w:hyperlink r:id="rId94">
              <w:r>
                <w:rPr>
                  <w:rStyle w:val="InternetLink"/>
                  <w:rFonts w:ascii="Times New Roman;serif" w:hAnsi="Times New Roman;serif"/>
                  <w:b w:val="false"/>
                  <w:i w:val="false"/>
                  <w:caps w:val="false"/>
                  <w:smallCaps w:val="false"/>
                  <w:color w:val="0000FF"/>
                  <w:sz w:val="20"/>
                  <w:u w:val="single"/>
                </w:rPr>
                <w:t xml:space="preserve">Clawback Policy of the Company (incorporated by reference to the Company’s Annual Report on Form 10-K (No. </w:t>
              </w:r>
            </w:hyperlink>
          </w:p>
          <w:p>
            <w:pPr>
              <w:pStyle w:val="TableContents"/>
              <w:bidi w:val="0"/>
              <w:spacing w:lineRule="atLeast" w:line="200" w:before="0" w:after="0"/>
              <w:jc w:val="left"/>
              <w:rPr/>
            </w:pPr>
            <w:hyperlink r:id="rId95">
              <w:r>
                <w:rPr>
                  <w:rStyle w:val="InternetLink"/>
                  <w:rFonts w:ascii="Times New Roman;serif" w:hAnsi="Times New Roman;serif"/>
                  <w:b w:val="false"/>
                  <w:i w:val="false"/>
                  <w:caps w:val="false"/>
                  <w:smallCaps w:val="false"/>
                  <w:color w:val="0000FF"/>
                  <w:sz w:val="20"/>
                  <w:u w:val="single"/>
                </w:rPr>
                <w:t>001-13459), filed February 16, 2024)</w:t>
              </w:r>
            </w:hyperlink>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tbl>
      <w:tblPr>
        <w:tblW w:w="9947" w:type="dxa"/>
        <w:jc w:val="left"/>
        <w:tblInd w:w="0" w:type="dxa"/>
        <w:tblLayout w:type="fixed"/>
        <w:tblCellMar>
          <w:top w:w="28" w:type="dxa"/>
          <w:left w:w="28" w:type="dxa"/>
          <w:bottom w:w="28" w:type="dxa"/>
          <w:right w:w="28" w:type="dxa"/>
        </w:tblCellMar>
      </w:tblPr>
      <w:tblGrid>
        <w:gridCol w:w="436"/>
        <w:gridCol w:w="9511"/>
      </w:tblGrid>
      <w:tr>
        <w:trPr/>
        <w:tc>
          <w:tcPr>
            <w:tcW w:w="436" w:type="dxa"/>
            <w:tcBorders/>
            <w:vAlign w:val="center"/>
          </w:tcPr>
          <w:p>
            <w:pPr>
              <w:pStyle w:val="TableContents"/>
              <w:bidi w:val="0"/>
              <w:spacing w:before="0" w:after="283"/>
              <w:jc w:val="left"/>
              <w:rPr>
                <w:sz w:val="4"/>
                <w:szCs w:val="4"/>
              </w:rPr>
            </w:pPr>
            <w:r>
              <w:rPr>
                <w:sz w:val="4"/>
                <w:szCs w:val="4"/>
              </w:rPr>
            </w:r>
          </w:p>
        </w:tc>
        <w:tc>
          <w:tcPr>
            <w:tcW w:w="9511" w:type="dxa"/>
            <w:tcBorders/>
            <w:vAlign w:val="center"/>
          </w:tcPr>
          <w:p>
            <w:pPr>
              <w:pStyle w:val="TableContents"/>
              <w:bidi w:val="0"/>
              <w:spacing w:before="0" w:after="283"/>
              <w:jc w:val="left"/>
              <w:rPr>
                <w:sz w:val="4"/>
                <w:szCs w:val="4"/>
              </w:rPr>
            </w:pPr>
            <w:r>
              <w:rPr>
                <w:sz w:val="4"/>
                <w:szCs w:val="4"/>
              </w:rPr>
            </w:r>
          </w:p>
        </w:tc>
      </w:tr>
      <w:tr>
        <w:trPr/>
        <w:tc>
          <w:tcPr>
            <w:tcW w:w="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101</w:t>
            </w:r>
          </w:p>
        </w:tc>
        <w:tc>
          <w:tcPr>
            <w:tcW w:w="95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The following financial statements from the Registrant’s Annual Report on Form 10-K for the fiscal year ended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December 31, 2025 are filed herewith, formatted in XBRL (Inline eXtensible Business Reporting Language): (i) the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Consolidated Statements of Income for the years ended December 31, 2025, 2024, and 2023, (ii) the Consolidated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Balance Sheets as of December 31, 2025 and December 31, 2024, (iii) the Consolidated Statement of Equity for the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years ended December 31, 2025, 2024, and 2023, (iv) the Consolidated Statements of Cash Flows for the years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ended December 31, 2025, 2024, and 2023, and (v) the Notes to the Consolidated Financial Statements</w:t>
            </w:r>
          </w:p>
        </w:tc>
      </w:tr>
      <w:tr>
        <w:trPr/>
        <w:tc>
          <w:tcPr>
            <w:tcW w:w="4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104</w:t>
            </w:r>
          </w:p>
        </w:tc>
        <w:tc>
          <w:tcPr>
            <w:tcW w:w="9511"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The cover page from the Registrant’s Annual Report on Form 10-K for the fiscal year ended December 31, 2025,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formatted in XBRL (Inline eXtensible Business Reporting Language) and contained in Exhibit 101</w:t>
            </w:r>
          </w:p>
        </w:tc>
      </w:tr>
    </w:tbl>
    <w:p>
      <w:pPr>
        <w:pStyle w:val="TextBody"/>
        <w:bidi w:val="0"/>
        <w:spacing w:lineRule="atLeast" w:line="160" w:before="0" w:after="0"/>
        <w:jc w:val="left"/>
        <w:rPr>
          <w:rFonts w:ascii="Times New Roman;serif" w:hAnsi="Times New Roman;serif"/>
          <w:b w:val="false"/>
          <w:i w:val="false"/>
          <w:caps w:val="false"/>
          <w:smallCaps w:val="false"/>
          <w:sz w:val="16"/>
        </w:rPr>
      </w:pPr>
      <w:r>
        <w:rPr>
          <w:rFonts w:ascii="Times New Roman;serif" w:hAnsi="Times New Roman;serif"/>
          <w:b w:val="false"/>
          <w:i w:val="false"/>
          <w:caps w:val="false"/>
          <w:smallCaps w:val="false"/>
          <w:sz w:val="16"/>
        </w:rPr>
        <w:t>___________________________</w:t>
      </w:r>
    </w:p>
    <w:p>
      <w:pPr>
        <w:pStyle w:val="TextBody"/>
        <w:bidi w:val="0"/>
        <w:spacing w:lineRule="atLeast" w:line="200" w:before="0" w:after="0"/>
        <w:jc w:val="left"/>
        <w:rPr>
          <w:caps w:val="false"/>
          <w:smallCaps w:val="false"/>
        </w:rPr>
      </w:pPr>
      <w:r>
        <w:rPr>
          <w:caps w:val="false"/>
          <w:smallCaps w:val="false"/>
        </w:rPr>
        <w:t xml:space="preserve">†            </w:t>
      </w:r>
      <w:r>
        <w:rPr>
          <w:rFonts w:ascii="Times New Roman;serif" w:hAnsi="Times New Roman;serif"/>
          <w:b w:val="false"/>
          <w:i w:val="false"/>
          <w:caps w:val="false"/>
          <w:smallCaps w:val="false"/>
          <w:sz w:val="20"/>
        </w:rPr>
        <w:t>Indicates a management contract or compensatory plan</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            Filed herewith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Furnished herewith</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p>
      <w:pPr>
        <w:pStyle w:val="TextBody"/>
        <w:bidi w:val="0"/>
        <w:spacing w:lineRule="atLeast" w:line="200" w:before="0" w:after="0"/>
        <w:jc w:val="left"/>
        <w:rPr/>
      </w:pPr>
      <w:hyperlink w:anchor="ibfa0590d77ac4199aa63edb4b8813f49_7">
        <w:r>
          <w:rPr>
            <w:rStyle w:val="InternetLink"/>
            <w:rFonts w:ascii="Times New Roman;serif" w:hAnsi="Times New Roman;serif"/>
            <w:b w:val="false"/>
            <w:i w:val="false"/>
            <w:caps w:val="false"/>
            <w:smallCaps w:val="false"/>
            <w:color w:val="0000FF"/>
            <w:sz w:val="20"/>
            <w:u w:val="single"/>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00"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SIGNATURES</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Section 13 or 15(d) of the Securities Exchange Act of 1934, the registrant has duly caused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this report to be signed on its behalf by the undersigned, thereunto duly authorized.</w:t>
      </w:r>
    </w:p>
    <w:tbl>
      <w:tblPr>
        <w:tblW w:w="6310" w:type="dxa"/>
        <w:jc w:val="left"/>
        <w:tblInd w:w="0" w:type="dxa"/>
        <w:tblLayout w:type="fixed"/>
        <w:tblCellMar>
          <w:top w:w="28" w:type="dxa"/>
          <w:left w:w="28" w:type="dxa"/>
          <w:bottom w:w="28" w:type="dxa"/>
          <w:right w:w="28" w:type="dxa"/>
        </w:tblCellMar>
      </w:tblPr>
      <w:tblGrid>
        <w:gridCol w:w="2086"/>
        <w:gridCol w:w="146"/>
        <w:gridCol w:w="146"/>
        <w:gridCol w:w="406"/>
        <w:gridCol w:w="3526"/>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before="0" w:after="283"/>
              <w:jc w:val="left"/>
              <w:rPr>
                <w:sz w:val="4"/>
                <w:szCs w:val="4"/>
              </w:rPr>
            </w:pPr>
            <w:r>
              <w:rPr>
                <w:sz w:val="4"/>
                <w:szCs w:val="4"/>
              </w:rPr>
            </w:r>
          </w:p>
        </w:tc>
      </w:tr>
      <w:tr>
        <w:trPr/>
        <w:tc>
          <w:tcPr>
            <w:tcW w:w="208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52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AFFILIATED MANAGERS GROUP, INC.</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(Registrant)</w:t>
            </w:r>
          </w:p>
        </w:tc>
      </w:tr>
      <w:tr>
        <w:trPr/>
        <w:tc>
          <w:tcPr>
            <w:tcW w:w="208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Date: February 17, 2026</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3526"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JAY C. HORGEN</w:t>
            </w:r>
          </w:p>
        </w:tc>
      </w:tr>
      <w:tr>
        <w:trPr/>
        <w:tc>
          <w:tcPr>
            <w:tcW w:w="208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4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406" w:type="dxa"/>
            <w:tcBorders/>
            <w:vAlign w:val="center"/>
          </w:tcPr>
          <w:p>
            <w:pPr>
              <w:pStyle w:val="TableContents"/>
              <w:bidi w:val="0"/>
              <w:spacing w:lineRule="atLeast" w:line="200"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526"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Jay C. Horgen</w:t>
            </w:r>
          </w:p>
          <w:p>
            <w:pPr>
              <w:pStyle w:val="TableContents"/>
              <w:bidi w:val="0"/>
              <w:spacing w:lineRule="atLeast" w:line="200" w:before="0" w:after="0"/>
              <w:jc w:val="left"/>
              <w:rPr>
                <w:rFonts w:ascii="Times New Roman;serif" w:hAnsi="Times New Roman;serif"/>
                <w:b w:val="false"/>
                <w:i/>
                <w:sz w:val="20"/>
              </w:rPr>
            </w:pPr>
            <w:r>
              <w:rPr>
                <w:rFonts w:ascii="Times New Roman;serif" w:hAnsi="Times New Roman;serif"/>
                <w:b w:val="false"/>
                <w:i/>
                <w:sz w:val="20"/>
              </w:rPr>
              <w:t>Chief Executive Officer</w:t>
            </w:r>
          </w:p>
        </w:tc>
      </w:tr>
    </w:tbl>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Pursuant to the requirements of the Securities Exchange Act of 1934, this report has been signed below by the following </w:t>
      </w:r>
    </w:p>
    <w:p>
      <w:pPr>
        <w:pStyle w:val="TextBody"/>
        <w:bidi w:val="0"/>
        <w:spacing w:lineRule="atLeast" w:line="200"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persons on behalf of the registrant and in the capacities and on the dates indicated.</w:t>
      </w:r>
    </w:p>
    <w:tbl>
      <w:tblPr>
        <w:tblW w:w="7691" w:type="dxa"/>
        <w:jc w:val="left"/>
        <w:tblInd w:w="0" w:type="dxa"/>
        <w:tblLayout w:type="fixed"/>
        <w:tblCellMar>
          <w:top w:w="28" w:type="dxa"/>
          <w:left w:w="28" w:type="dxa"/>
          <w:bottom w:w="28" w:type="dxa"/>
          <w:right w:w="28" w:type="dxa"/>
        </w:tblCellMar>
      </w:tblPr>
      <w:tblGrid>
        <w:gridCol w:w="3001"/>
        <w:gridCol w:w="109"/>
        <w:gridCol w:w="2836"/>
        <w:gridCol w:w="109"/>
        <w:gridCol w:w="1636"/>
      </w:tblGrid>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Signature</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Title</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160" w:before="0" w:after="0"/>
              <w:jc w:val="left"/>
              <w:rPr>
                <w:rFonts w:ascii="Times New Roman;serif" w:hAnsi="Times New Roman;serif"/>
                <w:b/>
                <w:i w:val="false"/>
                <w:caps w:val="false"/>
                <w:smallCaps w:val="false"/>
                <w:color w:val="000000"/>
                <w:sz w:val="16"/>
                <w:u w:val="single"/>
              </w:rPr>
            </w:pPr>
            <w:r>
              <w:rPr>
                <w:rFonts w:ascii="Times New Roman;serif" w:hAnsi="Times New Roman;serif"/>
                <w:b/>
                <w:i w:val="false"/>
                <w:caps w:val="false"/>
                <w:smallCaps w:val="false"/>
                <w:color w:val="000000"/>
                <w:sz w:val="16"/>
                <w:u w:val="single"/>
              </w:rPr>
              <w:t>Date</w:t>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JAY C. HORGEN</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vMerge w:val="restart"/>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Chief Executive Officer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(Principal Executive Officer) and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restart"/>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Jay C. Horgen</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continue"/>
            <w:tcBorders/>
            <w:vAlign w:val="center"/>
          </w:tcPr>
          <w:p>
            <w:pPr>
              <w:pStyle w:val="Normal"/>
              <w:bidi w:val="0"/>
              <w:jc w:val="left"/>
              <w:rPr/>
            </w:pPr>
            <w:r>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DAVA E. RITCHEA</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vMerge w:val="restart"/>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 xml:space="preserve">Chief Financial Officer </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(Principal Financial and Principal</w:t>
            </w:r>
          </w:p>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restart"/>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Dava E. Ritchea</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vMerge w:val="continue"/>
            <w:tcBorders/>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continue"/>
            <w:tcBorders/>
            <w:vAlign w:val="center"/>
          </w:tcPr>
          <w:p>
            <w:pPr>
              <w:pStyle w:val="Normal"/>
              <w:bidi w:val="0"/>
              <w:jc w:val="left"/>
              <w:rPr/>
            </w:pPr>
            <w:r>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KAREN L. ALVINGHAM</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restart"/>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Karen L. Alvingham</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vMerge w:val="continue"/>
            <w:tcBorders/>
            <w:vAlign w:val="center"/>
          </w:tcPr>
          <w:p>
            <w:pPr>
              <w:pStyle w:val="Normal"/>
              <w:bidi w:val="0"/>
              <w:jc w:val="left"/>
              <w:rPr/>
            </w:pPr>
            <w:r>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MARCY ENGEL</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Marcy Engel</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ANNETTE FRANQUI</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Annette Franqui</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FÉLIX V. MATOS RODRÍGUEZ</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Félix V. Matos Rodríguez</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TRACY P. PALANDJIAN</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Tracy P. Palandjian</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DAVID C. RYAN</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David C. Ryan</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bottom w:val="single" w:sz="8" w:space="0" w:color="000000"/>
            </w:tcBorders>
            <w:tcMar>
              <w:top w:w="0" w:type="dxa"/>
              <w:left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LOREN M. STARR</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Director</w:t>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February 17, 2026</w:t>
            </w:r>
          </w:p>
        </w:tc>
      </w:tr>
      <w:tr>
        <w:trPr/>
        <w:tc>
          <w:tcPr>
            <w:tcW w:w="3001" w:type="dxa"/>
            <w:tcBorders>
              <w:top w:val="single" w:sz="8" w:space="0" w:color="000000"/>
            </w:tcBorders>
            <w:tcMar>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Loren M. Starr</w:t>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19</w:t>
      </w:r>
    </w:p>
    <w:p>
      <w:pPr>
        <w:pStyle w:val="TextBody"/>
        <w:bidi w:val="0"/>
        <w:spacing w:lineRule="auto" w:line="288" w:before="0" w:after="0"/>
        <w:jc w:val="center"/>
        <w:rPr>
          <w:rFonts w:ascii="Times New Roman;serif" w:hAnsi="Times New Roman;serif"/>
          <w:b/>
          <w:color w:val="000000"/>
          <w:sz w:val="28"/>
          <w:u w:val="single"/>
        </w:rPr>
      </w:pPr>
      <w:r>
        <w:rPr>
          <w:rFonts w:ascii="Times New Roman;serif" w:hAnsi="Times New Roman;serif"/>
          <w:b/>
          <w:color w:val="000000"/>
          <w:sz w:val="28"/>
          <w:u w:val="single"/>
        </w:rPr>
        <w:t>Affiliated Managers Group, Inc.</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4"/>
        </w:rPr>
        <w:t>Insider Trading Policy and Procedures</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Policy Statement on Insider Trading</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Affiliated Managers Group, Inc. (“AMG” or the “Company”)</w:t>
      </w:r>
      <w:r>
        <w:rPr>
          <w:rFonts w:ascii="Times New Roman;serif" w:hAnsi="Times New Roman;serif"/>
          <w:b w:val="false"/>
          <w:color w:val="000000"/>
          <w:sz w:val="16"/>
        </w:rPr>
        <w:t>1</w:t>
      </w:r>
      <w:r>
        <w:rPr>
          <w:color w:val="000000"/>
        </w:rPr>
        <w:t xml:space="preserve"> </w:t>
      </w:r>
      <w:r>
        <w:rPr>
          <w:rFonts w:ascii="Times New Roman;serif" w:hAnsi="Times New Roman;serif"/>
          <w:b w:val="false"/>
          <w:color w:val="000000"/>
          <w:sz w:val="24"/>
        </w:rPr>
        <w:t>has adopted this Insider Trading Policy and Procedures (the “Policy”) that applies to the Company, and to each director, officer, and employee of the Company and each partner, officer, and employee of the Company’s subsidiaries and affiliates (collectively, “Covered Persons”). Each Covered Person must, upon request by the Company, acknowledge such person’s understanding of the Policy and agreement to be bound by the Policy. In the case of a Covered Person who is an officer or employee of an affiliate of the Company where the affiliate has adopted a substantially similar policy that is satisfactory to the Company, the Company may accept a certification from the affiliate with respect to the Covered Person’s understanding of, and agreement to be bound by, the affiliate’s policy. In addition, it is the policy of the Company to comply with all applicable securities laws when transacting in its own securities.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This Policy contains a discussion of insider trading and sets forth trading restrictions applicable to Covered Persons. Under this Policy, a Covered Person (which may under certain circumstances include a person who was formerly a Covered Person) is forbidden from: </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(i)trading in any securities of the Company in any capacity (or in options to buy such securities or other derivative securities based on such securities) on the basis of material, non-public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(ii)having others trade in such securities for such person while such person is in possession of material, non-public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(iii)communicating (or “tipping”) to others confidential or non-public information concerning the Company or other companies.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u w:val="single"/>
        </w:rPr>
        <w:t>Discussion: What is “Insider Trading</w:t>
      </w:r>
      <w:r>
        <w:rPr>
          <w:color w:val="000000"/>
          <w:u w:val="single"/>
        </w:rPr>
        <w:t>”</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Insider trading is, in addition to being a violation of this Policy, a violation of the federal securities laws. The term “insider trading” is not defined in the federal securities laws, but generally is used to refer to trading in securities while in possession of material, non-public information with respect to the issuer of such securities (whether or not one is an “insider” of the company that issued the securities) or the communication of material, non-public information to others who may trade on the basis of such information.</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13"/>
        </w:rPr>
        <w:t>1</w:t>
      </w:r>
      <w:r>
        <w:rPr>
          <w:color w:val="000000"/>
        </w:rPr>
        <w:t>    </w:t>
      </w:r>
      <w:r>
        <w:rPr>
          <w:rFonts w:ascii="Times New Roman;serif" w:hAnsi="Times New Roman;serif"/>
          <w:b w:val="false"/>
          <w:color w:val="000000"/>
          <w:sz w:val="20"/>
        </w:rPr>
        <w:t>The term “Company” refers to Affiliated Managers Group, Inc. and its subsidiaries and affiliates, collectively or individually, as the context requires.</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While the law concerning insider trading is not static, it is generally understood that, with respect to the Company and its securities, insiders are prohibited from doing the following:</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(i)Trading in any of the Company’s securities in any capacity (including derivative securities based on the Company’s securities) while in possession of material, non-public information concerning the Company. An example of this would be a purchase or sale of the Company’s securities at a time when a major acquisition was pending but not yet announced.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(ii)Having others trade on the insider’s behalf while the insider is in possession of material, non-public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(iii)Communicating non-public information concerning the Company to others who may then trade in securities of the Company or pass on the information to others who may trade in such securities. Such conduct, also known as “tipping,” results in liability for the insider of the Company who communicated such information (even if such insider does not actually trade themself) and for the person who received the information if such person acts on such information or passes it on to others who may act on it.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purposes of this Policy, the term “trade” or “trading” means broadly any purchase, sale, or other transaction to acquire, transfer, or dispose of securities, including derivative exercises, gifts or other contributions, pledges, exercises of stock options granted under the Company’s stock plans, sales of stock acquired upon the exercise of options, and trades made under an employee benefit plan such as a 401(k) plan.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elements of insider trading and the penalties for such unlawful conduct are discussed below.</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Who is an Insider</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concept of “insider” is broad and generally includes any person who possesses material, non-public information about the Company and who has a duty to the Company to keep this information confidential. In the case of the Company, “insiders” include the Covered Persons. In addition, a person can be a “temporary insider” if such person enters into a special confidential relationship to serve any such entity and as a result is given access to information in connection with such service. Persons who can become temporary insiders include, among others, the Company’s attorneys, accountants, consultants, and investment bankers. The Company also reserves the right to apply this Policy and its restrictions on trading to a person who leaves the Company (or an affiliate or subsidiary of the Company) for a period of up to six months following such person’s departure by giving notice to such person.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60705"/>
                <wp:effectExtent l="0" t="0" r="0" b="0"/>
                <wp:wrapNone/>
                <wp:docPr id="4" name="Frame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What is Material Information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Trading while in the possession of inside information is not a basis for liability unless the information is “material.” Generally, information is “material” if there is a substantial likelihood that a reasonable investor would consider it important in making an investment decision, or if it is reasonably certain to have an effect on the price, whether it is positive or negative, of an issuer’s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is no bright-line standard for assessing materiality; rather, materiality is based on an assessment of all the facts and circumstances, and is often evaluated by enforcement authorities with the benefit of hindsight. Although there is no precise, generally accepted definition of materiality, information is likely to be “material” if it relates to:</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Earnings information and quarterly results;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Projections of future earnings or losses or other earnings guidance (including confirming previous earnings guidance);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A pending or proposed merger, joint venture, acquisition, or tender offer, or an acquisition or disposition of significant assets;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Dispositions of, or other major liquidity events for, significant affiliates;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Significant new investments or financings or related developments;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Major events regarding the Company’s securities (including the declaration of a stock split or dividend, calls of securities for redemption, repurchase plans, changes to the rights of security holders, or the offering of additional securities);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Severe financial liquidity problems;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Significant litigation and regulatory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Significant cybersecurity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Changes in auditors or auditor notification that the Company may no longer rely on an audit report;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Expansion or curtailment of significant operations;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Bankruptcy or insolvency.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60705"/>
                <wp:effectExtent l="0" t="0" r="0" b="0"/>
                <wp:wrapNone/>
                <wp:docPr id="5" name="Frame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color w:val="000000"/>
        </w:rPr>
      </w:pPr>
      <w:r>
        <w:rPr>
          <w:color w:val="000000"/>
        </w:rPr>
        <w:t>“</w:t>
      </w:r>
      <w:r>
        <w:rPr>
          <w:rFonts w:ascii="Times New Roman;serif" w:hAnsi="Times New Roman;serif"/>
          <w:b w:val="false"/>
          <w:color w:val="000000"/>
          <w:sz w:val="24"/>
        </w:rPr>
        <w:t>Inside” information (i.e., information obtained, in whole or in part, as a result of an insider’s employment or relationship to the Company) could be material because of its expected effect on the price of the issuer’s securities, the securities of another company, or the securities of several companies. Moreover, the resulting prohibition against the misuse of “inside” information includes not only restrictions on trading in the issuer’s securities, but restrictions on trading in the securities of other companies affected by the inside information as well (e.g., in the event the issuer was in negotiations to acquire a public company).</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What is Non-public Information</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order for information to qualify as “inside” information, in addition to being “material,” the information also must be “non-public.” “Non-public” information is information that has not been made available to investors generally. This includes information received from sources or in circumstances indicating that the information has not been circulated generally.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At such time as material, non-public information is released to the investing public, it loses its status as “inside” information. For “non-public” information to become public information, however, it must be disseminated through recognized channels of distribution designed to reach the securities marketplace, and sufficient time must pass for the information to become available in the market.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To show that “material” information is public, it generally is necessary to point to some fact that establishes that the information has become generally available, such as disclosure by the filing of a definitive proxy statement, Form 10-Q, Form 10-K, Form 8-K, or other report with the Securities and Exchange Commission (the “SEC”) or disclosure by release to a national business and financial wire service (e.g., Dow Jones or Reuters), a national news service, or a national newspaper (e.g., </w:t>
      </w:r>
      <w:r>
        <w:rPr>
          <w:rFonts w:ascii="Times New Roman;serif" w:hAnsi="Times New Roman;serif"/>
          <w:b w:val="false"/>
          <w:color w:val="000000"/>
          <w:sz w:val="24"/>
          <w:u w:val="single"/>
        </w:rPr>
        <w:t>The Wall Street Journal</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The New York Times</w:t>
      </w:r>
      <w:r>
        <w:rPr>
          <w:rFonts w:ascii="Times New Roman;serif" w:hAnsi="Times New Roman;serif"/>
          <w:b w:val="false"/>
          <w:color w:val="000000"/>
          <w:sz w:val="24"/>
        </w:rPr>
        <w:t>). The circulation of rumors or “talk on the street,” even if accurate, widespread, and reported in the media, may not constitute the requisite public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Material, non-public information is not made public by selective dissemination. Material information improperly disclosed only to institutional investors or to an analyst or a favored group of analysts may retain its status as “non-public” information, the use of which is subject to insider trading laws. Similarly, partial disclosure does not constitute public dissemination. So long as any material component of the “inside” information has yet to be publicly disclosed, the information is deemed “non-public” and may not be traded upon.</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color w:val="000000"/>
          <w:sz w:val="24"/>
        </w:rPr>
      </w:pPr>
      <w:r>
        <w:rPr>
          <w:rFonts w:ascii="Times New Roman;serif" w:hAnsi="Times New Roman;serif"/>
          <w:b/>
          <w:color w:val="000000"/>
          <w:sz w:val="24"/>
        </w:rPr>
        <w:t>The Company generally does not consider quarterly and annual earnings results to have been disclosed publicly until one full trading day after a press release regarding such earnings. For example, if the earnings press release was issued on a Monday morning before market open, such earnings results would be considered public on Tuesday morning. Similarly, other material information will generally not be considered public until the trading day after public disclosure in the manner described previously.</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60705"/>
                <wp:effectExtent l="0" t="0" r="0" b="0"/>
                <wp:wrapNone/>
                <wp:docPr id="6" name="Frame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Penalties for Insider Trading</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Penalties for trading on or communicating material non-public information are severe, both for the individuals involved in such unlawful conduct and, potentially, for their employers. A person can be subject to some or all of the penalties below even if such person does not benefit personally from the violation. Penalties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jail sentences;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disgorgement of profits from or losses avoided as a result of insider trading or tipping;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substantial civil and criminal fines for the person who committed the violation, whether or not the person actually benefited (i.e., if the violation was one for tipping information);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significant fines for the employer or other controlling person of the violator.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any violation of this Policy can be expected to result in serious sanctions by the Company, which may include dismissal of the person involved.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Trading Procedures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following Trading Procedures are applicable to you because you are a Covered Person who may, by virtue of your duties or work conditions, have access to material, non-public information concerning the Company.</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Trading Windows and Pre-Clearance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There are times when the Company may be aware of a material, non-public development. Although you may not know the specifics of the development, if you engage in a trade before such development is disclosed to the public or resolved, you might expose yourself and the Company to a charge of insider trading that could be costly and difficult to refute. In addition, a trade by you during such a development could result in adverse publicity and sanctions for both the Company and you.</w:t>
      </w:r>
    </w:p>
    <w:p>
      <w:pPr>
        <w:pStyle w:val="TextBody"/>
        <w:bidi w:val="0"/>
        <w:spacing w:before="0" w:after="0"/>
        <w:jc w:val="left"/>
        <w:rPr/>
      </w:pPr>
      <w:r>
        <w:rPr/>
      </w:r>
    </w:p>
    <w:p>
      <w:pPr>
        <w:pStyle w:val="TextBody"/>
        <w:bidi w:val="0"/>
        <w:spacing w:lineRule="auto" w:line="288"/>
        <w:ind w:left="0" w:right="0" w:firstLine="720"/>
        <w:jc w:val="left"/>
        <w:rPr/>
      </w:pPr>
      <w:r>
        <w:rPr>
          <w:rFonts w:ascii="Times New Roman;serif" w:hAnsi="Times New Roman;serif"/>
          <w:b/>
          <w:color w:val="000000"/>
          <w:sz w:val="24"/>
        </w:rPr>
        <w:t xml:space="preserve">Therefore, if you are a Covered Person, you, your spouse, and members of your immediate family sharing your same household may purchase or sell securities of the Company only during the “trading windows” that occur each quarter, as specified below; </w:t>
      </w:r>
      <w:r>
        <w:rPr>
          <w:rFonts w:ascii="Times New Roman;serif" w:hAnsi="Times New Roman;serif"/>
          <w:b/>
          <w:color w:val="000000"/>
          <w:sz w:val="24"/>
          <w:u w:val="single"/>
        </w:rPr>
        <w:t>provided</w:t>
      </w:r>
      <w:r>
        <w:rPr>
          <w:rFonts w:ascii="Times New Roman;serif" w:hAnsi="Times New Roman;serif"/>
          <w:b/>
          <w:color w:val="000000"/>
          <w:sz w:val="24"/>
        </w:rPr>
        <w:t xml:space="preserve">, </w:t>
      </w:r>
      <w:r>
        <w:rPr>
          <w:rFonts w:ascii="Times New Roman;serif" w:hAnsi="Times New Roman;serif"/>
          <w:b/>
          <w:color w:val="000000"/>
          <w:sz w:val="24"/>
          <w:u w:val="single"/>
        </w:rPr>
        <w:t>that</w:t>
      </w:r>
      <w:r>
        <w:rPr>
          <w:rFonts w:ascii="Times New Roman;serif" w:hAnsi="Times New Roman;serif"/>
          <w:b/>
          <w:color w:val="000000"/>
          <w:sz w:val="24"/>
        </w:rPr>
        <w:t>, such person is not in possession of material, non-public information (as provided generally herein). In addition, you (or your spouse or member of your immediate family</w:t>
      </w:r>
      <w:r>
        <w:rPr>
          <w:color w:val="000000"/>
        </w:rPr>
        <w:t xml:space="preserve"> </w:t>
      </w:r>
      <w:r>
        <w:rPr>
          <w:rFonts w:ascii="Times New Roman;serif" w:hAnsi="Times New Roman;serif"/>
          <w:b/>
          <w:color w:val="000000"/>
          <w:sz w:val="24"/>
        </w:rPr>
        <w:t xml:space="preserve">sharing your same household) </w:t>
      </w:r>
      <w:r>
        <w:rPr>
          <w:rFonts w:ascii="Times New Roman;serif" w:hAnsi="Times New Roman;serif"/>
          <w:b/>
          <w:color w:val="000000"/>
          <w:sz w:val="24"/>
          <w:u w:val="single"/>
        </w:rPr>
        <w:t>must</w:t>
      </w:r>
      <w:r>
        <w:rPr>
          <w:color w:val="000000"/>
        </w:rPr>
        <w:t xml:space="preserve"> </w:t>
      </w:r>
      <w:r>
        <w:rPr>
          <w:rFonts w:ascii="Times New Roman;serif" w:hAnsi="Times New Roman;serif"/>
          <w:b/>
          <w:color w:val="000000"/>
          <w:sz w:val="24"/>
        </w:rPr>
        <w:t xml:space="preserve">pre-clear your (or their) intent to trade within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60705"/>
                <wp:effectExtent l="0" t="0" r="0" b="0"/>
                <wp:wrapNone/>
                <wp:docPr id="7" name="Frame5"/>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4"/>
        </w:rPr>
        <w:t xml:space="preserve">any “trading window” with one of the Company officers listed on </w:t>
      </w:r>
      <w:r>
        <w:rPr>
          <w:rFonts w:ascii="Times New Roman;serif" w:hAnsi="Times New Roman;serif"/>
          <w:b/>
          <w:color w:val="000000"/>
          <w:sz w:val="24"/>
          <w:u w:val="single"/>
        </w:rPr>
        <w:t>Schedule A</w:t>
      </w:r>
      <w:r>
        <w:rPr>
          <w:color w:val="000000"/>
        </w:rPr>
        <w:t xml:space="preserve"> </w:t>
      </w:r>
      <w:r>
        <w:rPr>
          <w:rFonts w:ascii="Times New Roman;serif" w:hAnsi="Times New Roman;serif"/>
          <w:b/>
          <w:color w:val="000000"/>
          <w:sz w:val="24"/>
        </w:rPr>
        <w:t xml:space="preserve">hereto, as may be updated from time to time (each, a “Clearance Officer” for so long as such individual is employed by the Company).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The trading window is the period in any fiscal quarter beginning one full trading day after the Company’s issuance of a press release regarding quarterly or annual earnings (each, an “Earnings Release”), and ending on the last day of the fiscal quarter (i.e., March 31</w:t>
      </w:r>
      <w:r>
        <w:rPr>
          <w:rFonts w:ascii="Times New Roman;serif" w:hAnsi="Times New Roman;serif"/>
          <w:b w:val="false"/>
          <w:color w:val="000000"/>
          <w:sz w:val="16"/>
        </w:rPr>
        <w:t>st</w:t>
      </w:r>
      <w:r>
        <w:rPr>
          <w:rFonts w:ascii="Times New Roman;serif" w:hAnsi="Times New Roman;serif"/>
          <w:b w:val="false"/>
          <w:color w:val="000000"/>
          <w:sz w:val="24"/>
        </w:rPr>
        <w:t>, June 30</w:t>
      </w:r>
      <w:r>
        <w:rPr>
          <w:rFonts w:ascii="Times New Roman;serif" w:hAnsi="Times New Roman;serif"/>
          <w:b w:val="false"/>
          <w:color w:val="000000"/>
          <w:sz w:val="16"/>
        </w:rPr>
        <w:t>th</w:t>
      </w:r>
      <w:r>
        <w:rPr>
          <w:rFonts w:ascii="Times New Roman;serif" w:hAnsi="Times New Roman;serif"/>
          <w:b w:val="false"/>
          <w:color w:val="000000"/>
          <w:sz w:val="24"/>
        </w:rPr>
        <w:t>, September 30</w:t>
      </w:r>
      <w:r>
        <w:rPr>
          <w:rFonts w:ascii="Times New Roman;serif" w:hAnsi="Times New Roman;serif"/>
          <w:b w:val="false"/>
          <w:color w:val="000000"/>
          <w:sz w:val="16"/>
        </w:rPr>
        <w:t>th</w:t>
      </w:r>
      <w:r>
        <w:rPr>
          <w:rFonts w:ascii="Times New Roman;serif" w:hAnsi="Times New Roman;serif"/>
          <w:b w:val="false"/>
          <w:color w:val="000000"/>
          <w:sz w:val="24"/>
        </w:rPr>
        <w:t>, and December</w:t>
      </w:r>
      <w:r>
        <w:rPr>
          <w:color w:val="000000"/>
        </w:rPr>
        <w:t xml:space="preserve"> </w:t>
      </w:r>
      <w:r>
        <w:rPr>
          <w:rFonts w:ascii="Times New Roman;serif" w:hAnsi="Times New Roman;serif"/>
          <w:b w:val="false"/>
          <w:color w:val="000000"/>
          <w:sz w:val="24"/>
        </w:rPr>
        <w:t>31</w:t>
      </w:r>
      <w:r>
        <w:rPr>
          <w:rFonts w:ascii="Times New Roman;serif" w:hAnsi="Times New Roman;serif"/>
          <w:b w:val="false"/>
          <w:color w:val="000000"/>
          <w:sz w:val="16"/>
        </w:rPr>
        <w:t>st</w:t>
      </w:r>
      <w:r>
        <w:rPr>
          <w:rFonts w:ascii="Times New Roman;serif" w:hAnsi="Times New Roman;serif"/>
          <w:b w:val="false"/>
          <w:color w:val="000000"/>
          <w:sz w:val="24"/>
        </w:rPr>
        <w:t xml:space="preserve">, as applicable). For example, if the Earnings Release was issued on a Monday morning before market open, the trading window would open Tuesday morning and would close at the end of the last day of the applicable fiscal quarter.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accordance with the procedure for waivers described below, in special circumstances a waiver may be given to a Covered Person to allow a trade to occur outside of a trading window.</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If you intend to engage in any trade in the Company’s securities in any capacity or for any account, you must first receive permission from a Clearance Officer as set forth above.</w:t>
      </w:r>
      <w:r>
        <w:rPr>
          <w:rFonts w:ascii="Times New Roman;serif" w:hAnsi="Times New Roman;serif"/>
          <w:b w:val="false"/>
          <w:color w:val="000000"/>
          <w:sz w:val="16"/>
        </w:rPr>
        <w:t xml:space="preserve">2 </w:t>
      </w:r>
      <w:r>
        <w:rPr>
          <w:rFonts w:ascii="Times New Roman;serif" w:hAnsi="Times New Roman;serif"/>
          <w:b w:val="false"/>
          <w:color w:val="000000"/>
          <w:sz w:val="24"/>
        </w:rPr>
        <w:t xml:space="preserve">Authorization to trade the Company’s securities will not be granted if the Company has unannounced pending material developments. This would occur, for example, if the Company was in discussions concerning a major acquisition during the period following an Earnings Release. If the trading window ended before the transaction was announced and the “blackout” was lifted, trading by Covered Persons would next be permitted during the trading window following the next quarterly Earnings Release. Any Clearance Officer may refuse to permit any transaction if such Clearance Officer determines that such trade could give rise to a charge or appearance of insider trading. The Clearance Officer may consult with the Company’s counsel/outside counsel before responding to your request.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After receiving permission from a Clearance Officer to engage in a trade, the approval is effective until the earlier of (a) the close of the second full trading day after the date of approval, and (b) the close of the applicable trading window (the “Approved Trading Period”). If your trade is not executed during the Approved Trading Period, you should submit a new trading request.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4"/>
        </w:rPr>
      </w:pPr>
      <w:r>
        <w:rPr>
          <w:rFonts w:ascii="Times New Roman;serif" w:hAnsi="Times New Roman;serif"/>
          <w:b/>
          <w:color w:val="000000"/>
          <w:sz w:val="24"/>
        </w:rPr>
        <w:t>Even if you have received pre-clearance, neither you, your spouse, nor any member of your immediate family sharing your household may trade in any securities (including options and other derivative securities) of the Company if you or such other person is in possession of material, non-public information about the Company. Ultimate responsibility for compliance with the insider trading provisions of the federal securities laws rests with you, and clearance of any proposed transaction should not be construed as a guarantee that you will not later be found to have been in possession of material non-public information.</w:t>
      </w:r>
    </w:p>
    <w:p>
      <w:pPr>
        <w:pStyle w:val="TextBody"/>
        <w:bidi w:val="0"/>
        <w:spacing w:before="0" w:after="0"/>
        <w:ind w:left="0" w:right="0" w:firstLine="720"/>
        <w:jc w:val="left"/>
        <w:rPr/>
      </w:pPr>
      <w:r>
        <w:rPr/>
      </w:r>
    </w:p>
    <w:p>
      <w:pPr>
        <w:pStyle w:val="TextBody"/>
        <w:bidi w:val="0"/>
        <w:spacing w:lineRule="auto" w:line="288" w:before="0" w:after="240"/>
        <w:jc w:val="left"/>
        <w:rPr/>
      </w:pPr>
      <w:r>
        <w:rPr>
          <w:rFonts w:ascii="Times New Roman;serif" w:hAnsi="Times New Roman;serif"/>
          <w:b w:val="false"/>
          <w:color w:val="000000"/>
          <w:sz w:val="13"/>
        </w:rPr>
        <w:t>2</w:t>
      </w:r>
      <w:r>
        <w:rPr>
          <w:color w:val="000000"/>
        </w:rPr>
        <w:t>    </w:t>
      </w:r>
      <w:r>
        <w:rPr>
          <w:rFonts w:ascii="Times New Roman;serif" w:hAnsi="Times New Roman;serif"/>
          <w:b w:val="false"/>
          <w:color w:val="000000"/>
          <w:sz w:val="20"/>
        </w:rPr>
        <w:t>If the Clearance Officers will be absent from the office or unavailable for a significant period of time, they will designate someone to handle trading requests.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60705"/>
                <wp:effectExtent l="0" t="0" r="0" b="0"/>
                <wp:wrapNone/>
                <wp:docPr id="8" name="Frame6"/>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i/>
          <w:color w:val="000000"/>
          <w:sz w:val="24"/>
        </w:rPr>
        <w:t>Options and Warrants</w:t>
      </w:r>
      <w:r>
        <w:rPr>
          <w:rFonts w:ascii="Times New Roman;serif" w:hAnsi="Times New Roman;serif"/>
          <w:b w:val="false"/>
          <w:color w:val="000000"/>
          <w:sz w:val="24"/>
        </w:rPr>
        <w:t>. The exercise of an option or warrant issued to you by the Company to purchase securities of the Company is generally not subject to the Trading Procedures outlined above (including, but not limited to, in the case of (i) an exercise of stock options where no Company common stock is sold in the market to fund the option exercise price or related taxes (i.e., a net exercise, stock swap, or where cash is paid to exercise the option) or (ii) a tax withholding right pursuant to which a person has elected to have the Company withhold shares subject to an option to satisfy tax withholding requirements), but the securities so acquired may not be sold except during a trading window (for Covered Persons), after authorization from a Clearance Officer has been received, and after all other requirements of this Policy have been satisfied. The so-called “cashless exercise” of stock options through a broker, or any other market sale for the purposes of generating cash needed to pay the exercise price or related taxes of an option, is covered by the Trading Procedures and, therefore, requires pre-clearance. Any other exercise of an option or warrant issued to you by the Company to purchase securities of the Company requires prior written notice of such exercise to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4"/>
        </w:rPr>
        <w:t xml:space="preserve">Rule 10b5-1 Plans. </w:t>
      </w:r>
      <w:r>
        <w:rPr>
          <w:rFonts w:ascii="Times New Roman;serif" w:hAnsi="Times New Roman;serif"/>
          <w:b w:val="false"/>
          <w:color w:val="000000"/>
          <w:sz w:val="24"/>
        </w:rPr>
        <w:t xml:space="preserve">Pursuant to Rule 10b5-1 under the Securities Exchange Act of 1934, as amended (the “Exchange Act”), individuals may be able to avoid insider trading liability if they can demonstrate that the purchase or sale in question was made pursuant to a binding contract, instruction, or written plan that satisfies the requirements of Rule 10b5-1(c) under the Exchange Act (a “10b5-1 Plan”). A 10b5-1 Plan can only be established during an open trading window when you do not possess material non-public information. In addition, a 10b5-1 Plan must not permit you to exercise any subsequent influence over how, when, or whether the purchases or sales are made. Any 10b5-1 Plan must be established in good faith, and individuals must act in good faith with respect to the 10b5-1 Plan for the duration thereof.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You may not enter into, amend, suspend, or terminate any 10b5-1 Plan except with the prior approval of a Clearance Officer. </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For a trading plan adopted by a person other than the issuer of the security covered by the trading plan to qualify as a 10b5-1 Plan, such a trading plan must satisfy the following conditions, among others as prescribed by Rule 10b5-1: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trading plan must specify the dates, prices, and amounts of the contemplated trades, or establish a formula or mechanism for determining the dates, prices, and amounts, or must not permit the person for whose account purchases or sales of securities will be made under the trading plan (such person, the “Plan Owner”) to subsequently exercise any influence over how, when, or whether to purchase or sell any securities covered by the trading plan (i.e., discretion on these matters is delegated to an independent third party under the trading plan);</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 xml:space="preserve">The trading plan must provide for a “cooling-off period” after the adoption of the trading plan during which no trade may occur under the trading plan. For this purpose, the “cooling-off period” for the Company’s directors and officers (as defined in Rule 16a-1 under the Exchange Act) (each, a “Section 16 Person”) is a minimum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560705"/>
                <wp:effectExtent l="0" t="0" r="0" b="0"/>
                <wp:wrapNone/>
                <wp:docPr id="9" name="Frame7"/>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of 90 days and a maximum of 120 days.</w:t>
      </w:r>
      <w:r>
        <w:rPr>
          <w:rFonts w:ascii="Times New Roman;serif" w:hAnsi="Times New Roman;serif"/>
          <w:b w:val="false"/>
          <w:color w:val="000000"/>
          <w:sz w:val="16"/>
        </w:rPr>
        <w:t>3</w:t>
      </w:r>
      <w:r>
        <w:rPr>
          <w:color w:val="000000"/>
        </w:rPr>
        <w:t xml:space="preserve"> </w:t>
      </w:r>
      <w:r>
        <w:rPr>
          <w:rFonts w:ascii="Times New Roman;serif" w:hAnsi="Times New Roman;serif"/>
          <w:b w:val="false"/>
          <w:color w:val="000000"/>
          <w:sz w:val="24"/>
        </w:rPr>
        <w:t xml:space="preserve">If the Plan Owner is not a Section 16 Person, the cooling-off period ends 30 days after the adoption or modification of the 10b5-1 Plan. The “adoption of a trading plan” includes any modification or change to the amount, price, or timing of trades under the trading plan;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If the trading plan is a written plan and the Plan Owner is a Section 16 Person, the trading plan must include certain representations required by Rule 10b5-1;</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No person entering into a 10b5-1 Plan may have a separate 10b5-1 Plan outstanding, except a person may (i) use multiple brokers to effect transactions that, when taken together, satisfy Rule 10b5-1, (ii) maintain another 10b5-1 Plan so long as transactions under the later-commencing plan cannot begin until after all transactions under the earlier-commencing plan have been completed or expire without completion and the applicable waiting period is satisfied treating the termination of the earlier-commencing plan as the date of adoption of the later-commencing plan, or (iii) adopt a second 10b5-1 Plan that allows only sales that are necessary to satisfy tax withholding obligations that arise from the vesting of a compensatory award and such person does not exercise control over the timing of such sales;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No person may adopt a 10b5-1 trading plan that contemplates only a single transaction if such person had adopted a plan contemplating only a single transaction within the prior 12 months.</w:t>
      </w:r>
    </w:p>
    <w:p>
      <w:pPr>
        <w:pStyle w:val="TextBody"/>
        <w:bidi w:val="0"/>
        <w:spacing w:lineRule="auto" w:line="288" w:before="0" w:after="240"/>
        <w:ind w:left="0" w:right="0" w:firstLine="720"/>
        <w:jc w:val="left"/>
        <w:rPr>
          <w:rFonts w:ascii="Times New Roman;serif" w:hAnsi="Times New Roman;serif"/>
          <w:b w:val="false"/>
          <w:color w:val="000000"/>
          <w:sz w:val="24"/>
          <w:shd w:fill="FFFFFF" w:val="clear"/>
        </w:rPr>
      </w:pPr>
      <w:r>
        <w:rPr>
          <w:rFonts w:ascii="Times New Roman;serif" w:hAnsi="Times New Roman;serif"/>
          <w:b w:val="false"/>
          <w:color w:val="000000"/>
          <w:sz w:val="24"/>
          <w:shd w:fill="FFFFFF" w:val="clear"/>
        </w:rPr>
        <w:t>If you enter into a 10b5-1 Plan, the 10b5-1 Plan should also be structured to avoid purchases or sales shortly before known announcements, such as quarterly or annual earnings announcements, to avoid the appearance of impropriety and any resulting potential negative publicity should the SEC or the New York Stock Exchange investigate such trades.</w:t>
      </w:r>
    </w:p>
    <w:p>
      <w:pPr>
        <w:pStyle w:val="TextBody"/>
        <w:bidi w:val="0"/>
        <w:spacing w:lineRule="auto" w:line="288" w:before="0" w:after="24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“insiders,” any modification or termination of a pre-cleared 10b5-1 Plan requires pre-clearance by a Clearance Officer. In addition, any modification of a pre-cleared 10b5-1 Plan must occur before you become aware of any material non-public information, must comply with the requirements of the rules regarding 10b5-1 trading plans and, if you are a Covered Person or are otherwise subject to trading window restrictions, must take place during such trading window.</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Once you establish a 10b5-1 Plan in accordance with the foregoing, you will not need to clear in advance transactions made pursuant to the terms of the 10b5-1 Plan and transactions under such 10b5-1 Plan may occur at any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See “Post-Trade Reporting” below for additional procedural and notification requirements with respect to 10b5-1 Plans.</w:t>
      </w:r>
    </w:p>
    <w:p>
      <w:pPr>
        <w:pStyle w:val="TextBody"/>
        <w:bidi w:val="0"/>
        <w:spacing w:before="0" w:after="0"/>
        <w:ind w:left="0" w:right="0" w:firstLine="720"/>
        <w:jc w:val="left"/>
        <w:rPr/>
      </w:pPr>
      <w:r>
        <w:rPr/>
      </w:r>
    </w:p>
    <w:p>
      <w:pPr>
        <w:pStyle w:val="TextBody"/>
        <w:bidi w:val="0"/>
        <w:spacing w:lineRule="auto" w:line="288"/>
        <w:jc w:val="left"/>
        <w:rPr/>
      </w:pPr>
      <w:r>
        <w:rPr>
          <w:rFonts w:ascii="Times New Roman;serif" w:hAnsi="Times New Roman;serif"/>
          <w:b w:val="false"/>
          <w:color w:val="000000"/>
          <w:sz w:val="13"/>
        </w:rPr>
        <w:t>3     </w:t>
      </w:r>
      <w:r>
        <w:rPr>
          <w:rFonts w:ascii="Times New Roman;serif" w:hAnsi="Times New Roman;serif"/>
          <w:b w:val="false"/>
          <w:color w:val="000000"/>
          <w:sz w:val="20"/>
        </w:rPr>
        <w:t>If the Company files an Annual Report on Form 10-K or a Quarterly Report on Form 10-Q with financial results between days 90 and 120, trading under the plan may commence on the second business day after such filing.</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560705"/>
                <wp:effectExtent l="0" t="0" r="0" b="0"/>
                <wp:wrapNone/>
                <wp:docPr id="10" name="Frame8"/>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Post-Trade Reporting</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 xml:space="preserve">You are required to report to a Clearance Officer any transaction in any securities of the Company in any capacity by you, your spouse, or any immediate family member sharing your household </w:t>
      </w:r>
      <w:r>
        <w:rPr>
          <w:rFonts w:ascii="Times New Roman;serif" w:hAnsi="Times New Roman;serif"/>
          <w:b w:val="false"/>
          <w:color w:val="000000"/>
          <w:sz w:val="24"/>
          <w:u w:val="single"/>
        </w:rPr>
        <w:t>immediately</w:t>
      </w:r>
      <w:r>
        <w:rPr>
          <w:rFonts w:ascii="Times New Roman;serif" w:hAnsi="Times New Roman;serif"/>
          <w:b w:val="false"/>
          <w:color w:val="000000"/>
          <w:sz w:val="24"/>
        </w:rPr>
        <w:t>, and in any event not later than 5:00 p.m. on the day on which such transaction was effected. Each report you make to a Clearance Officer should include the date of the transaction, quantity, price, and broker-dealer through which the transaction was effected. This reporting requirement may be satisfied by sending (or having your broker send) duplicate confirmations of trades to a Clearance Officer, provided that such information is received by the Clearance Officer by 5:00 p.m. on the day on which such transaction was effected.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Each quarter, the Company is required to publicly disclose when Section 16 Persons adopt, terminate, or make certain modifications to 10b5-1 Plans and other trading plans for the Company’s securities and to provide a description of the material terms of each plan (or modified plan, as applicable), including the name of the Section 16 Person, the date of adoption, modification or termination, the duration, and the aggregate number of securities to be purchased or sold under the plan (however, the price at which the person executing the plan is authorized to trade does not need to be publicly disclosed). Therefore, Section 16 Persons must provide a Clearance Officer with a final executed copy of (i) any 10b5-1 Plan for the Company’s securities, (ii) any other trading plan for the Company’s securities and (iii) any amendment to any such 10b5-1 Plan or other trading plan, in each case within two business days of the adoption thereof. In addition, Section 16 Persons must promptly notify a Clearance Officer of any termination of such 10b5-1 Plans or other trading plans.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foregoing reporting requirements are designed to help monitor compliance with the Trading Procedures set forth herein and to enable the Company to help Section 16 Persons comply with these reporting obligations. Each Section 16 Person, however, and not the Company, is personally responsible for ensuring that such transactions do not give rise to “short swing” liability under Section 16 of the Exchange Act and for ensuring that all filings related to such transactions are made when due with the SEC, including any filings that may be required by Section 16 of the Exchange Act or Rule 144 under the Securities Act of 1933, as amended.</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Prohibition on Day Trading, Use of Derivatives and Short Sales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Neither you, your spouse, nor any immediate family member sharing your household may (i) engage in any day trading of the Company’s securities, (ii) enter into trade puts, calls, options, warrants, or other derivative instruments in respect of any of the Company’s securities, or (iii) engage in short selling or any economically equivalent transactions that would result in a net short exposure to the Company.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4.    </w:t>
      </w:r>
      <w:r>
        <w:rPr>
          <w:rFonts w:ascii="Times New Roman;serif" w:hAnsi="Times New Roman;serif"/>
          <w:b w:val="false"/>
          <w:color w:val="000000"/>
          <w:sz w:val="24"/>
          <w:u w:val="single"/>
        </w:rPr>
        <w:t>No Margin Accounts or Pledges</w:t>
      </w:r>
      <w:r>
        <w:rPr>
          <w:rFonts w:ascii="Times New Roman;serif" w:hAnsi="Times New Roman;serif"/>
          <w:b w:val="false"/>
          <w:color w:val="000000"/>
          <w:sz w:val="24"/>
        </w:rPr>
        <w:t>.</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560705"/>
                <wp:effectExtent l="0" t="0" r="0" b="0"/>
                <wp:wrapNone/>
                <wp:docPr id="11" name="Frame9"/>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Neither you, your spouse, nor any immediate family member sharing your household may (i) purchase any of the Company’s securities on margin, (ii) borrow against any account in which Company securities are held, or (iii) pledge Company securities as collateral for a loan.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5.    </w:t>
      </w:r>
      <w:r>
        <w:rPr>
          <w:rFonts w:ascii="Times New Roman;serif" w:hAnsi="Times New Roman;serif"/>
          <w:b w:val="false"/>
          <w:color w:val="000000"/>
          <w:sz w:val="24"/>
          <w:u w:val="single"/>
        </w:rPr>
        <w:t>Standing or Limit Orders</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Standing and limit orders (except standing and limit orders under approved Rule 10b5-1 trading plans, as described above)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As a result, the Company generally discourages the use of standing or limit orders by insiders. Any standing order or limit order placed by an insider on the Company’s securities should be limited to a short duration (i.e., within the Approved Trading Period), must comply with the restrictions and procedures outlined in this Policy (including any applicable window periods and pre-clearance requirements), and (except standing and limit orders under approved Rule 10b5-1 trading plans) must be immediately revoked by the insider upon acquisition of material non-public information or as otherwise directed by the Company.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6.    </w:t>
      </w:r>
      <w:r>
        <w:rPr>
          <w:rFonts w:ascii="Times New Roman;serif" w:hAnsi="Times New Roman;serif"/>
          <w:b w:val="false"/>
          <w:color w:val="000000"/>
          <w:sz w:val="24"/>
          <w:u w:val="single"/>
        </w:rPr>
        <w:t>Managed Accounts</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have a managed account (where another person has been given discretion or authority to trade without your prior approval), you should advise your broker or investment advisor not to trade in individual AMG securities at any time.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7.    </w:t>
      </w:r>
      <w:r>
        <w:rPr>
          <w:rFonts w:ascii="Times New Roman;serif" w:hAnsi="Times New Roman;serif"/>
          <w:b w:val="false"/>
          <w:color w:val="000000"/>
          <w:sz w:val="24"/>
          <w:u w:val="single"/>
        </w:rPr>
        <w:t>Limitations on Share Buybacks</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may purchase shares of its common stock from time to time, at management’s discretion, under programs approved by the Company’s Board of Directors. These transactions may occur as open market share purchases, including through the use of accelerated share repurchase agreements (“ASRs”), which may include derivative or forward contracts, as well as purchases pursuant to stock repurchase plans with brokers under Rule 10b5-1(c)(1) under the Exchange Act (each, a “Repurchase Plan” and together with the ASRs, a “Repurchase Agreement”), or any other method as approved by the Company’s Board of Directors from time to time. The Company may not conduct any such repurchases outside a Repurchase Plan, or enter into any Repurchase Agreements, while in possession of material non-public information under federal securities laws. In order to promote compliance with the foregoing, the Company shall be restricted from conducting repurchases outside a Repurchase Plan, or entering into any Repurchase Agreements, except during an open trading window, which begins each quarter one full trading day after the Company’s issuance of an Earnings Release and ending on the last day of the fiscal quarter.</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60705"/>
                <wp:effectExtent l="0" t="0" r="0" b="0"/>
                <wp:wrapNone/>
                <wp:docPr id="12" name="Frame10"/>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Further, prior to opening the trading window each quarter, and prior to the Company’s entry into any Repurchase Agreement, AMG Legal and Compliance shall conduct a process of confirming that the Company is not in possession of material non-public information. This process shall include consultations with members of (i) the Office of the CEO, (ii) AMG Legal and Compliance, (iii) AMG Finance, and (iv) the Affiliate Partnerships Team, to discuss any matters that have not been disclosed publicly and that a reasonable investor would consider important in making an investment decision to trade in the Company’s securities. These consultations shall include inquiries into any potential new investments, as well as a range of other matters that could be relevant from quarter-to-quarter, including those listed above under the heading “What is Material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4"/>
        </w:rPr>
        <w:t>8.    </w:t>
      </w:r>
      <w:r>
        <w:rPr>
          <w:rFonts w:ascii="Times New Roman;serif" w:hAnsi="Times New Roman;serif"/>
          <w:b w:val="false"/>
          <w:color w:val="000000"/>
          <w:sz w:val="24"/>
          <w:u w:val="single"/>
        </w:rPr>
        <w:t>Certain Limited Exceptions</w:t>
      </w:r>
      <w:r>
        <w:rPr>
          <w:rFonts w:ascii="Times New Roman;serif" w:hAnsi="Times New Roman;serif"/>
          <w:b w:val="false"/>
          <w:color w:val="000000"/>
          <w:sz w:val="24"/>
        </w:rPr>
        <w: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addition to any other exceptions set forth in this Policy, the prohibition on trading in the Company’s securities set forth herein does not apply to: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Distributions or transfers (such as certain tax planning or estate planning transfers) that effect only a change in the form of beneficial interest without changing your pecuniary interest in the Company’s securities, provided that prior written notice of such distribution or transfer is provided to the Company;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The withholding by the Company (whether mandated by the Company or pursuant to a tax withholding right) of shares of restricted stock, shares underlying restricted stock units, or shares subject to an option, in each case, to satisfy tax withholding requirements;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Sales of the Company’s securities in a registered public offering in accordance with applicable securities laws;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4"/>
        </w:rPr>
        <w:t>Trading in mutual funds and Exchange Traded Funds (“ETFs”) holding Company securities at any time (except for single stock ETFs).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Unauthorized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discussed above, the disclosure of material, non-public information to others can lead to significant legal difficulties, fines, and punishment. Therefore, you should not discuss material, non-public information about the Company or its affiliates or subsidiaries with anyone, including other employees, except as required in the performance of your regular duties.</w:t>
      </w:r>
    </w:p>
    <w:p>
      <w:pPr>
        <w:pStyle w:val="TextBody"/>
        <w:bidi w:val="0"/>
        <w:spacing w:before="0" w:after="0"/>
        <w:ind w:left="0" w:right="0" w:firstLine="72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addition, the Company has strict policies relating to safeguarding the confidentiality of its internal, proprietary information. These include procedures regarding identifying, marking, and safeguarding confidential information and employee confidentiality agreements. You are required to comply with these policies and procedures at all times.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60705"/>
                <wp:effectExtent l="0" t="0" r="0" b="0"/>
                <wp:wrapNone/>
                <wp:docPr id="13" name="Frame11"/>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It is important that only specifically designated representatives of the Company discuss the Company and its affiliates and subsidiaries with the news media, securities analysts, and investors. Inquiries of this type received by any employee should be referred to a Clearance Officer.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Communication with Governmental Entities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Nothing herein or in any other applicable policy of the Company shall prohibit or restrict current or former Covered Persons from cooperating with any governmental or regulatory process, or any governmental or law enforcement agency or other authority in any investigation, or from providing confidential information or making any other communications (without notice to or consent from the Company) to any federal, state, or local regulatory authority or governmental agency or self-regulatory organization, including pursuant to the “whistleblower rules” promulgated by the SEC or any other whistleblower provisions of any federal, state, or local law or regulation, provided that (1) in each case such communications and disclosures are consistent with applicable law and (2) the information subject to such disclosure was not obtained by the current or former Covered Person through a communication that was subject to the attorney-client privilege, unless such disclosure of that information would otherwise be permitted by an attorney pursuant to 17 CFR 205.3(d)(2), applicable state attorney conduct rules, or otherwise. The Company will not limit the right of any current or former Covered Person to receive an award for providing information pursuant to the whistleblower provisions of any applicable law or regulation to the SEC or any other governmental entity.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Post-Termination Transactions</w:t>
      </w:r>
    </w:p>
    <w:p>
      <w:pPr>
        <w:pStyle w:val="TextBody"/>
        <w:bidi w:val="0"/>
        <w:spacing w:before="0" w:after="0"/>
        <w:jc w:val="left"/>
        <w:rPr/>
      </w:pPr>
      <w:r>
        <w:rPr/>
      </w:r>
    </w:p>
    <w:p>
      <w:pPr>
        <w:pStyle w:val="TextBody"/>
        <w:bidi w:val="0"/>
        <w:spacing w:lineRule="auto" w:line="288" w:before="0" w:after="0"/>
        <w:jc w:val="left"/>
        <w:rPr>
          <w:color w:val="000000"/>
          <w:shd w:fill="FFFFFF" w:val="clear"/>
        </w:rPr>
      </w:pPr>
      <w:r>
        <w:rPr>
          <w:color w:val="000000"/>
          <w:shd w:fill="FFFFFF" w:val="clear"/>
        </w:rPr>
        <w:t>    </w:t>
      </w:r>
      <w:r>
        <w:rPr>
          <w:rFonts w:ascii="Times New Roman;serif" w:hAnsi="Times New Roman;serif"/>
          <w:b w:val="false"/>
          <w:color w:val="000000"/>
          <w:sz w:val="24"/>
          <w:shd w:fill="FFFFFF" w:val="clear"/>
        </w:rPr>
        <w:t>This Policy continues to apply to transactions in Company securities even after termination of service to the Company. If an individual is in possession of material, non-public information when such individual’s service terminates, that individual may not trade in Company securities until that information has become public or is no longer material.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Reporting of Violations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know or have reason to believe that this Policy, including the Trading Procedures described above, has been or is about to be violated, you should bring the actual or potential violation to the attention of a Clearance Officer immediately.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Modifications; Waivers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Company reserves the right to amend or modify this Policy, including the Trading Procedures set forth herein, at any time. Waiver of any provision of this Policy in a specific instance may be authorized in writing by a Clearance Officer (or a Clearance Officer’s designee).</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60705"/>
                <wp:effectExtent l="0" t="0" r="0" b="0"/>
                <wp:wrapNone/>
                <wp:docPr id="14" name="Frame12"/>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u w:val="single"/>
        </w:rPr>
      </w:pPr>
      <w:r>
        <w:rPr>
          <w:rFonts w:ascii="Times New Roman;serif" w:hAnsi="Times New Roman;serif"/>
          <w:b/>
          <w:color w:val="000000"/>
          <w:sz w:val="24"/>
          <w:u w:val="single"/>
        </w:rPr>
        <w:t>Questions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If you have any questions regarding this Policy or the Trading Procedures set forth herein, you are encouraged to contact a Clearance Officer, who may refer the question to the Company’s counsel or outside counsel before responding.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4"/>
        </w:rPr>
      </w:pPr>
      <w:r>
        <w:rPr>
          <w:rFonts w:ascii="Times New Roman;serif" w:hAnsi="Times New Roman;serif"/>
          <w:b w:val="false"/>
          <w:i/>
          <w:color w:val="000000"/>
          <w:sz w:val="24"/>
        </w:rPr>
        <w:t>As of October 20, 2025</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60705"/>
                <wp:effectExtent l="0" t="0" r="0" b="0"/>
                <wp:wrapNone/>
                <wp:docPr id="15" name="Frame13"/>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Clearance Officers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24"/>
        </w:rPr>
      </w:pPr>
      <w:r>
        <w:rPr>
          <w:rFonts w:ascii="Times New Roman;serif" w:hAnsi="Times New Roman;serif"/>
          <w:b w:val="false"/>
          <w:i/>
          <w:color w:val="000000"/>
          <w:sz w:val="24"/>
        </w:rPr>
        <w:t>[To be updated by the Company from time to time]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60705"/>
                <wp:effectExtent l="0" t="0" r="0" b="0"/>
                <wp:wrapNone/>
                <wp:docPr id="16" name="Frame14"/>
                <a:graphic xmlns:a="http://schemas.openxmlformats.org/drawingml/2006/main">
                  <a:graphicData uri="http://schemas.microsoft.com/office/word/2010/wordprocessingShape">
                    <wps:wsp>
                      <wps:cNvSpPr txBox="1"/>
                      <wps:spPr>
                        <a:xfrm>
                          <a:off x="0" y="0"/>
                          <a:ext cx="6480175" cy="56070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4.15pt;mso-wrap-distance-left:0pt;mso-wrap-distance-right:0pt;mso-wrap-distance-top:0pt;mso-wrap-distance-bottom:0pt;margin-top:0pt;mso-position-vertical:top;mso-position-vertical-relative:text;margin-left:-437.8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OF SUBSIDIARIES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(in alphabetical order)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Below is a list comprised of (i) wholly-owned subsidiaries of Affiliated Managers Group, Inc. (the “Company”), (ii) Affiliates in which the Company has a majority interest (direct and indirect) and (iii) Affiliates in which the Company has a minority investment (direct and indirect), as of December 31, 2025. Subsidiaries of majority- and minority-owned Affiliates are not listed. Minority investments are indicated via asterisk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Abacos Atlantic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Abacus Capital Group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Abax Investments Proprietary Limited, a limited liability private company incorporated in South Africa*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Affiliated Managers Group (Asia) Limited, a Cayman Islands exempted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Affiliated Managers Group (Europe) Limited, a Malta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Affiliated Managers Group Korea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Affiliated Managers Group Limited, a limited company incorporated in the United Kingdom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2014 Capital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2023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2023 Holdings Ltd., a private limited company incorporated in England and Wales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Andros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Arrow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Atlantic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Boston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CA Holdings Corp., a New Jersey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CA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CA Holdings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Canada Corp., a Nova Scotia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Canada Holdings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Capital (Cayman) LLC, a Cayman Islands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Comvest Senior Lending Feeder Fund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Conception Holdings 3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Cove Holdings Limited, a Barbados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CVC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Distributors, Inc., a Delaware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Edison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FCMC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Funds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Gamma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Genesis,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Global,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Gotham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GWK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ICN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New York Holdings Corp.,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Northeast Holdings,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Northeast Investment Corp., a Delaware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Oasis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Olympic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PA Holdings Partnership, a Delaware general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PCM Acquisition 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PCM Acquisition II,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PFM Holdings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Plymouth UK Holdings (1) Limited, a limited company incorporated in England and Wales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Properties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Renaissance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Rose Holdings 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Rose Holdings II,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SA Holdings Proprietary Limited, a limited liability private company incorporated in South Africa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AMG Symmetry Acquisition LLC, a Delaware limited liability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TBC,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UK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 Wealth Partners, LP, a Delaware limited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WF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Windermere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WP GP Holdings Corp.,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 WP LP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AMG/FAMI Investment Corp., a Nova Scotia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AMG/North America Holding Corp.,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APG Acquisition 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APG Acquisition II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AQR Capital Management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Ara Advisers II,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Ara Fund I SLP,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Ara Partners Group,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Arrow Acquisition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Arrow Bidco Limited, a limited company incorporated in the United Kingdom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Artemis Asset Management Limited, a limited company incorporated in the United Kingdom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Artemis Investment Management LLP, a United Kingdom limited liability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Artemis Strategic Asset Management Limited, a limited company incorporated in the United Kingdom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Baker Street Advisors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BC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Beutel, Goodman &amp; Company Ltd., a limited company incorporated in Canada*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Bimini Atlantic Holdings Ltd., a Bahamas international business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Boston Common Asset Management,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Capeview Capital LLP, an England and Wales limited liability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Capula Investment Management LLP, an England and Wales limited liability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Capula Management Limited, a Cayman Islands exempted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Catalyst Acquisition II,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CGH Acquisition II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CGH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CML Holdings LLC, a Cayman Islands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Comvest Equity Partners Holdings,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CGH Legacy Holdings,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CVC Holdings LLC, a Cayman Islands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 Asset Management,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 Principals Incentive Carry Vehicle,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 Principals Incentive Carry Vehicle II,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 Principals Incentive Carry Vehicle II-A, LP, a Scotland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 Principals Incentive Carry Vehicle IV,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EIG Principals Incentive Carry Vehicle IV-A, L.P., a Scotland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El-Train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 (WY) Acquisition Company,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FCMC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First Asset Capital Management (III) Inc., an Ontario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Forbion Group Holding B.V., a Netherlands private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Foyston, Gordon &amp; Payne Inc., a Canada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Frontier Capital Management Company,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Gallium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Garda Capital Partners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GCP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Genesis Investment Management, LLP, a United Kingdom limited liability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Gotham Acquisition GP,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Gotham Acquisition LP,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GW&amp;K Investment Management,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Harding Loevner LP, a Delaware limited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HWL Holdings Corp., a Delaware corporation</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Inclusive Capital Partners Holdco, L.P., a Delaware limited partnership*</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Institutional Capital Network,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JSP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Maestre Energy Management, S.L., a private limited liability company incorporated in Spain*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Montefiore Investment SAS, a simplified stock company incorporated in France*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myCIO Wealth Partners,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NB HoldCo 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NB HoldCo II,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NorthBridge Partners LLC, a Massachusetts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OCP Asia Limited, a Cayman Islands exempted limited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Capital (Asia) Limited, a limited company incorporated in Hong Kong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Global Investors, Inc., a Delaware corporation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Holdings Limited, a limited company incorporated in England and Wales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(UK) GP LLP, a Scotland limited liability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Ventures (Asia) Limited, a Cayman Islands exempted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Pantheon Ventures Inc., a California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Pantheon Ventures (Ireland) Designated Activity Company, an Ireland designated activity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Ventures Limited, a limited company incorporated in England and Wales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Pantheon Ventures (UK) LLP, an England and Wales limited liability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Parnassus Investments,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PFM Acquisition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Plymouth (UK) GP Holdings I Limited, a limited company incorporated in England and Wales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Plymouth (UK) GP Holdings II Limited, a limited company incorporated in England and Wales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Prides Crossing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Q-Energy Private Equity, S.G.E.I.C., S.A., a company incorporated in Spain*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QE Holdco Services, S.L., a private limited liability company incorporated in Spain*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River Road Asset Management,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RRAM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Spring GP I,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Squam Acquisition GP,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Squam Acquisition LP,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Suma Capital Next, S.L., a Spanish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Systematic Financial Management, L.P., a Delaware limited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Systematica Investments Limited, a registered private company incorporated in Jersey*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Systematica Investments LP, a Guernsey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Renaissance Group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Third Avenue Holdings Delaware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TimesSquare Capital Management,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TimesSquare Manager Member,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Titan NJ GP Holdings,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Titan NJ LP Holdings,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TMF Corp.,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Topspin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Tweedy, Browne Company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Union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ValueAct Holdings II, L.P., a Delaware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ValueAct Holdings GP, LLC, a Delaware limited liability company*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ValueAct Holdings, L.P., a Delaware limited partnership*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VAM Bidco Limited, a private UK limited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Veritas Asset Management LLP, a UK limited liability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Verition Fund Management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Verition Group NY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VIF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Watson Acquisition,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Wealth Partners Capital Group,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Welch &amp; Forbes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Windermere Cayman LP, a Cayman Islands exempted limited partnership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Winton Group Limited, a UK private limited company*</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Yacktman Asset Management LP, a Delaware limited partnership</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firstLine="720"/>
        <w:jc w:val="left"/>
        <w:rPr/>
      </w:pPr>
      <w:hyperlink w:anchor="ib2eee8abc8a44ff19799b1c0db7c4f6c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lineRule="auto" w:line="288" w:before="0" w:after="0"/>
        <w:jc w:val="left"/>
        <w:rPr/>
      </w:pPr>
      <w:r>
        <w:rPr>
          <w:rFonts w:ascii="Times New Roman;serif" w:hAnsi="Times New Roman;serif"/>
          <w:b w:val="false"/>
          <w:color w:val="000000"/>
          <w:sz w:val="20"/>
        </w:rPr>
        <w:t>We hereby consent to the incorporation by reference in the Registration Statements on Form S-3 (No. 333-285434) and S-8 (No. 333-240091, No. 333-190412, No. 333-175912, No. 333-129748, No. 333-100628, No. 333-84485, and No. 333-72967) of Affiliated Managers Group, Inc. of our report</w:t>
      </w:r>
      <w:r>
        <w:rPr>
          <w:color w:val="000000"/>
        </w:rPr>
        <w:t xml:space="preserve"> </w:t>
      </w:r>
      <w:r>
        <w:rPr>
          <w:rFonts w:ascii="Times New Roman;serif" w:hAnsi="Times New Roman;serif"/>
          <w:b w:val="false"/>
          <w:color w:val="000000"/>
          <w:sz w:val="20"/>
        </w:rPr>
        <w:t>dated February 17, 2026 relating to the financial statements, financial statement schedule and the effectiveness of internal control over financial reporting, which appears in this Form 10-K.</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PricewaterhouseCoopers LLP</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Boston, Massachusetts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February 17,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ind w:left="0" w:right="0" w:firstLine="405"/>
        <w:jc w:val="left"/>
        <w:rPr/>
      </w:pPr>
      <w:hyperlink w:anchor="ib2eee8abc8a44ff19799b1c0db7c4f6c_1">
        <w:r>
          <w:rPr>
            <w:rStyle w:val="InternetLink"/>
            <w:rFonts w:ascii="Times New Roman;serif" w:hAnsi="Times New Roman;serif"/>
            <w:b w:val="false"/>
            <w:color w:val="0000FF"/>
            <w:sz w:val="20"/>
            <w:u w:val="single"/>
          </w:rPr>
          <w:t>Exhibit 23</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fe33880dcbae476f88d6368045d716b8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Jay C. Horgen, certify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Affiliated Managers Group,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Date: February 17, 2026</w:t>
      </w:r>
    </w:p>
    <w:tbl>
      <w:tblPr>
        <w:tblW w:w="27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15"/>
        <w:gridCol w:w="615"/>
        <w:gridCol w:w="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C. Horgen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ind w:left="0" w:right="0" w:firstLine="405"/>
        <w:jc w:val="left"/>
        <w:rPr/>
      </w:pPr>
      <w:hyperlink w:anchor="ife33880dcbae476f88d6368045d716b8_1">
        <w:r>
          <w:rPr>
            <w:rStyle w:val="InternetLink"/>
            <w:rFonts w:ascii="Times New Roman;serif" w:hAnsi="Times New Roman;serif"/>
            <w:b w:val="false"/>
            <w:color w:val="0000FF"/>
            <w:sz w:val="20"/>
            <w:u w:val="single"/>
          </w:rPr>
          <w:t>Exhibit 31.1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9394d5450f3465aad6b2c70009261f2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CERTIFICATION PURSUANT TO SECTION 302(a)</w:t>
      </w:r>
    </w:p>
    <w:p>
      <w:pPr>
        <w:pStyle w:val="TextBody"/>
        <w:bidi w:val="0"/>
        <w:spacing w:lineRule="auto" w:line="288" w:before="160" w:after="160"/>
        <w:jc w:val="center"/>
        <w:rPr>
          <w:rFonts w:ascii="Times New Roman;serif" w:hAnsi="Times New Roman;serif"/>
          <w:b/>
          <w:color w:val="000000"/>
          <w:sz w:val="20"/>
        </w:rPr>
      </w:pPr>
      <w:r>
        <w:rPr>
          <w:rFonts w:ascii="Times New Roman;serif" w:hAnsi="Times New Roman;serif"/>
          <w:b/>
          <w:color w:val="000000"/>
          <w:sz w:val="20"/>
        </w:rPr>
        <w:t>OF THE SARBANES-OXLEY ACT OF 2002</w: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I, Dava E. Ritchea, certify that: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Affiliated Managers Group, Inc.;</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tbl>
      <w:tblPr>
        <w:tblW w:w="2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DAVA E. RITCHEA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Dava E. Ritchea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ind w:left="0" w:right="0" w:firstLine="405"/>
        <w:jc w:val="left"/>
        <w:rPr/>
      </w:pPr>
      <w:hyperlink w:anchor="ic9394d5450f3465aad6b2c70009261f2_1">
        <w:r>
          <w:rPr>
            <w:rStyle w:val="InternetLink"/>
            <w:rFonts w:ascii="Times New Roman;serif" w:hAnsi="Times New Roman;serif"/>
            <w:b w:val="false"/>
            <w:color w:val="0000FF"/>
            <w:sz w:val="20"/>
            <w:u w:val="single"/>
          </w:rPr>
          <w:t>Exhibit 31.2</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d498d9871f7c42658fc64a3e44155a68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Affiliated Managers Group, Inc. (the "Company") for the period ended December 31, 2025 as filed with the Securities and Exchange Commission on the date hereof (the "Report"), the undersigned, Jay C. Horgen, Chief Executive Officer of the Company, hereby certifies, pursuant to 18 U.S.C. Section 1350, that to his knowledge: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tbl>
      <w:tblPr>
        <w:tblW w:w="27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1"/>
        <w:gridCol w:w="601"/>
        <w:gridCol w:w="8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 HORGEN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Jay C. Horgen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ind w:left="0" w:right="0" w:firstLine="405"/>
        <w:jc w:val="left"/>
        <w:rPr/>
      </w:pPr>
      <w:hyperlink w:anchor="id498d9871f7c42658fc64a3e44155a68_1">
        <w:r>
          <w:rPr>
            <w:rStyle w:val="InternetLink"/>
            <w:rFonts w:ascii="Times New Roman;serif" w:hAnsi="Times New Roman;serif"/>
            <w:b w:val="false"/>
            <w:color w:val="0000FF"/>
            <w:sz w:val="20"/>
            <w:u w:val="single"/>
          </w:rPr>
          <w:t>Exhibit 32.1</w:t>
        </w:r>
      </w:hyperlink>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ca9b2d9b73ca49bebcc482548233cded_4">
        <w:r>
          <w:rPr>
            <w:rStyle w:val="InternetLink"/>
            <w:rFonts w:ascii="Times New Roman;serif" w:hAnsi="Times New Roman;serif"/>
            <w:b w:val="false"/>
            <w:color w:val="0000FF"/>
            <w:sz w:val="24"/>
            <w:u w:val="single"/>
          </w:rPr>
          <w:t>QuickLinks</w:t>
        </w:r>
      </w:hyperlink>
      <w:r>
        <w:rPr>
          <w:color w:val="000000"/>
        </w:rPr>
        <w:t xml:space="preserve"> </w:t>
      </w:r>
      <w:r>
        <w:rPr>
          <w:rFonts w:ascii="Times New Roman;serif" w:hAnsi="Times New Roman;serif"/>
          <w:b w:val="false"/>
          <w:color w:val="000000"/>
          <w:sz w:val="24"/>
        </w:rPr>
        <w:t>-- Click here to rapidly navigate through this document</w:t>
      </w:r>
    </w:p>
    <w:p>
      <w:pPr>
        <w:pStyle w:val="TextBody"/>
        <w:bidi w:val="0"/>
        <w:spacing w:lineRule="auto" w:line="288" w:before="160" w:after="16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60" w:after="16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Affiliated Managers Group, Inc. (the "Company") for the period ended December 31, 2025 as filed with the Securities and Exchange Commission on the date hereof (the "Report"), the undersigned, Dava E. Ritchea, Chief Financial Officer of the Company, hereby certifies, pursuant to 18 U.S.C. Section 1350, that to her knowledge:</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February 17, 2026 </w:t>
      </w:r>
    </w:p>
    <w:tbl>
      <w:tblPr>
        <w:tblW w:w="27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605"/>
        <w:gridCol w:w="605"/>
        <w:gridCol w:w="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DAVA E. RITCHEA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Dava E. Ritchea</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60" w:after="160"/>
        <w:jc w:val="left"/>
        <w:rPr>
          <w:rFonts w:ascii="Times New Roman;serif" w:hAnsi="Times New Roman;serif"/>
          <w:b w:val="false"/>
          <w:color w:val="000000"/>
          <w:sz w:val="20"/>
        </w:rPr>
      </w:pPr>
      <w:r>
        <w:rPr>
          <w:rFonts w:ascii="Times New Roman;serif" w:hAnsi="Times New Roman;serif"/>
          <w:b w:val="false"/>
          <w:color w:val="000000"/>
          <w:sz w:val="20"/>
        </w:rPr>
        <w:t>QuickLinks</w:t>
      </w:r>
    </w:p>
    <w:p>
      <w:pPr>
        <w:pStyle w:val="TextBody"/>
        <w:bidi w:val="0"/>
        <w:spacing w:lineRule="auto" w:line="288"/>
        <w:ind w:left="0" w:right="0" w:firstLine="405"/>
        <w:jc w:val="left"/>
        <w:rPr/>
      </w:pPr>
      <w:hyperlink w:anchor="ica9b2d9b73ca49bebcc482548233cded_1">
        <w:r>
          <w:rPr>
            <w:rStyle w:val="InternetLink"/>
            <w:rFonts w:ascii="Times New Roman;serif" w:hAnsi="Times New Roman;serif"/>
            <w:b w:val="false"/>
            <w:color w:val="0000FF"/>
            <w:sz w:val="20"/>
            <w:u w:val="single"/>
          </w:rPr>
          <w:t>Exhibit 32.2</w:t>
        </w:r>
      </w:hyperlink>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004434/0000950135-97-004266.txt" TargetMode="External"/><Relationship Id="rId5" Type="http://schemas.openxmlformats.org/officeDocument/2006/relationships/hyperlink" Target="https://www.sec.gov/Archives/edgar/data/1004434/0000950135-97-004266.txt" TargetMode="External"/><Relationship Id="rId6" Type="http://schemas.openxmlformats.org/officeDocument/2006/relationships/hyperlink" Target="https://www.sec.gov/Archives/edgar/data/1004434/000110465905056203/a05-20277_1ex4d1.htm" TargetMode="External"/><Relationship Id="rId7" Type="http://schemas.openxmlformats.org/officeDocument/2006/relationships/hyperlink" Target="https://www.sec.gov/Archives/edgar/data/1004434/000110465905056203/a05-20277_1ex4d1.htm" TargetMode="External"/><Relationship Id="rId8" Type="http://schemas.openxmlformats.org/officeDocument/2006/relationships/hyperlink" Target="https://www.sec.gov/Archives/edgar/data/1004434/000100443417000019/amg_06302017xexhibit31.htm" TargetMode="External"/><Relationship Id="rId9" Type="http://schemas.openxmlformats.org/officeDocument/2006/relationships/hyperlink" Target="https://www.sec.gov/Archives/edgar/data/1004434/000100443417000019/amg_06302017xexhibit31.htm" TargetMode="External"/><Relationship Id="rId10" Type="http://schemas.openxmlformats.org/officeDocument/2006/relationships/hyperlink" Target="https://www.sec.gov/Archives/edgar/data/1004434/000100443422000054/amg_093022xexhibit31.htm" TargetMode="External"/><Relationship Id="rId11" Type="http://schemas.openxmlformats.org/officeDocument/2006/relationships/hyperlink" Target="https://www.sec.gov/Archives/edgar/data/1004434/000100443422000054/amg_093022xexhibit31.htm" TargetMode="External"/><Relationship Id="rId12" Type="http://schemas.openxmlformats.org/officeDocument/2006/relationships/hyperlink" Target="https://www.sec.gov/Archives/edgar/data/1004434/000119312519088500/d666868dex41.htm" TargetMode="External"/><Relationship Id="rId13" Type="http://schemas.openxmlformats.org/officeDocument/2006/relationships/hyperlink" Target="https://www.sec.gov/Archives/edgar/data/1004434/000119312519088500/d666868dex41.htm" TargetMode="External"/><Relationship Id="rId14" Type="http://schemas.openxmlformats.org/officeDocument/2006/relationships/hyperlink" Target="https://www.sec.gov/Archives/edgar/data/1004434/000119312519088500/d666868dex41.htm" TargetMode="External"/><Relationship Id="rId15" Type="http://schemas.openxmlformats.org/officeDocument/2006/relationships/hyperlink" Target="https://www.sec.gov/Archives/edgar/data/1004434/000119312519088500/d666868dex42.htm" TargetMode="External"/><Relationship Id="rId16" Type="http://schemas.openxmlformats.org/officeDocument/2006/relationships/hyperlink" Target="https://www.sec.gov/Archives/edgar/data/1004434/000119312519088500/d666868dex42.htm" TargetMode="External"/><Relationship Id="rId17" Type="http://schemas.openxmlformats.org/officeDocument/2006/relationships/hyperlink" Target="https://www.sec.gov/Archives/edgar/data/1004434/000119312519088500/d666868dex42.htm" TargetMode="External"/><Relationship Id="rId18" Type="http://schemas.openxmlformats.org/officeDocument/2006/relationships/hyperlink" Target="https://www.sec.gov/Archives/edgar/data/1004434/000119312519088500/d666868dex42.htm" TargetMode="External"/><Relationship Id="rId19" Type="http://schemas.openxmlformats.org/officeDocument/2006/relationships/hyperlink" Target="https://www.sec.gov/Archives/edgar/data/1004434/000119312520252331/d82761dex42.htm" TargetMode="External"/><Relationship Id="rId20" Type="http://schemas.openxmlformats.org/officeDocument/2006/relationships/hyperlink" Target="https://www.sec.gov/Archives/edgar/data/1004434/000119312520252331/d82761dex42.htm" TargetMode="External"/><Relationship Id="rId21" Type="http://schemas.openxmlformats.org/officeDocument/2006/relationships/hyperlink" Target="https://www.sec.gov/Archives/edgar/data/1004434/000119312520252331/d82761dex42.htm" TargetMode="External"/><Relationship Id="rId22" Type="http://schemas.openxmlformats.org/officeDocument/2006/relationships/hyperlink" Target="https://www.sec.gov/Archives/edgar/data/1004434/000119312520252331/d82761dex42.htm" TargetMode="External"/><Relationship Id="rId23" Type="http://schemas.openxmlformats.org/officeDocument/2006/relationships/hyperlink" Target="https://www.sec.gov/Archives/edgar/data/1004434/000119312521214114/d205012dex42.htm" TargetMode="External"/><Relationship Id="rId24" Type="http://schemas.openxmlformats.org/officeDocument/2006/relationships/hyperlink" Target="https://www.sec.gov/Archives/edgar/data/1004434/000119312521214114/d205012dex42.htm" TargetMode="External"/><Relationship Id="rId25" Type="http://schemas.openxmlformats.org/officeDocument/2006/relationships/hyperlink" Target="https://www.sec.gov/Archives/edgar/data/1004434/000119312521214114/d205012dex42.htm" TargetMode="External"/><Relationship Id="rId26" Type="http://schemas.openxmlformats.org/officeDocument/2006/relationships/hyperlink" Target="https://www.sec.gov/Archives/edgar/data/1004434/000119312521214114/d205012dex42.htm" TargetMode="External"/><Relationship Id="rId27" Type="http://schemas.openxmlformats.org/officeDocument/2006/relationships/hyperlink" Target="https://www.sec.gov/Archives/edgar/data/1004434/000119312524072712/d797758dex42.htm" TargetMode="External"/><Relationship Id="rId28" Type="http://schemas.openxmlformats.org/officeDocument/2006/relationships/hyperlink" Target="https://www.sec.gov/Archives/edgar/data/1004434/000119312524072712/d797758dex42.htm" TargetMode="External"/><Relationship Id="rId29" Type="http://schemas.openxmlformats.org/officeDocument/2006/relationships/hyperlink" Target="https://www.sec.gov/Archives/edgar/data/1004434/000119312524072712/d797758dex42.htm" TargetMode="External"/><Relationship Id="rId30" Type="http://schemas.openxmlformats.org/officeDocument/2006/relationships/hyperlink" Target="https://www.sec.gov/Archives/edgar/data/1004434/000119312524072712/d797758dex42.htm" TargetMode="External"/><Relationship Id="rId31" Type="http://schemas.openxmlformats.org/officeDocument/2006/relationships/hyperlink" Target="https://www.sec.gov/Archives/edgar/data/1004434/000119312520162203/d928407dex41.htm" TargetMode="External"/><Relationship Id="rId32" Type="http://schemas.openxmlformats.org/officeDocument/2006/relationships/hyperlink" Target="https://www.sec.gov/Archives/edgar/data/1004434/000119312520162203/d928407dex41.htm" TargetMode="External"/><Relationship Id="rId33" Type="http://schemas.openxmlformats.org/officeDocument/2006/relationships/hyperlink" Target="https://www.sec.gov/Archives/edgar/data/1004434/000119312520162203/d928407dex41.htm" TargetMode="External"/><Relationship Id="rId34" Type="http://schemas.openxmlformats.org/officeDocument/2006/relationships/hyperlink" Target="https://www.sec.gov/Archives/edgar/data/1004434/000119312520162203/d928407dex42.htm" TargetMode="External"/><Relationship Id="rId35" Type="http://schemas.openxmlformats.org/officeDocument/2006/relationships/hyperlink" Target="https://www.sec.gov/Archives/edgar/data/1004434/000119312520162203/d928407dex42.htm" TargetMode="External"/><Relationship Id="rId36" Type="http://schemas.openxmlformats.org/officeDocument/2006/relationships/hyperlink" Target="https://www.sec.gov/Archives/edgar/data/1004434/000119312520162203/d928407dex42.htm" TargetMode="External"/><Relationship Id="rId37" Type="http://schemas.openxmlformats.org/officeDocument/2006/relationships/hyperlink" Target="https://www.sec.gov/Archives/edgar/data/1004434/000119312520162203/d928407dex42.htm" TargetMode="External"/><Relationship Id="rId38" Type="http://schemas.openxmlformats.org/officeDocument/2006/relationships/hyperlink" Target="https://www.sec.gov/Archives/edgar/data/1004434/000119312524203661/d817196dex42.htm" TargetMode="External"/><Relationship Id="rId39" Type="http://schemas.openxmlformats.org/officeDocument/2006/relationships/hyperlink" Target="https://www.sec.gov/Archives/edgar/data/1004434/000119312524203661/d817196dex42.htm" TargetMode="External"/><Relationship Id="rId40" Type="http://schemas.openxmlformats.org/officeDocument/2006/relationships/hyperlink" Target="https://www.sec.gov/Archives/edgar/data/1004434/000119312524203661/d817196dex42.htm" TargetMode="External"/><Relationship Id="rId41" Type="http://schemas.openxmlformats.org/officeDocument/2006/relationships/hyperlink" Target="https://www.sec.gov/Archives/edgar/data/1004434/000119312524203661/d817196dex42.htm" TargetMode="External"/><Relationship Id="rId42" Type="http://schemas.openxmlformats.org/officeDocument/2006/relationships/hyperlink" Target="https://www.sec.gov/Archives/edgar/data/1004434/000119312525316053/d933301dex42.htm" TargetMode="External"/><Relationship Id="rId43" Type="http://schemas.openxmlformats.org/officeDocument/2006/relationships/hyperlink" Target="https://www.sec.gov/Archives/edgar/data/1004434/000119312525316053/d933301dex42.htm" TargetMode="External"/><Relationship Id="rId44" Type="http://schemas.openxmlformats.org/officeDocument/2006/relationships/hyperlink" Target="https://www.sec.gov/Archives/edgar/data/1004434/000119312525316053/d933301dex42.htm" TargetMode="External"/><Relationship Id="rId45" Type="http://schemas.openxmlformats.org/officeDocument/2006/relationships/hyperlink" Target="https://www.sec.gov/Archives/edgar/data/1004434/000119312525316053/d933301dex42.htm" TargetMode="External"/><Relationship Id="rId46" Type="http://schemas.openxmlformats.org/officeDocument/2006/relationships/hyperlink" Target="https://www.sec.gov/Archives/edgar/data/1004434/000100443425000010/amg_exhibit415x12312024.htm" TargetMode="External"/><Relationship Id="rId47" Type="http://schemas.openxmlformats.org/officeDocument/2006/relationships/hyperlink" Target="https://www.sec.gov/Archives/edgar/data/1004434/000100443425000010/amg_exhibit415x12312024.htm" TargetMode="External"/><Relationship Id="rId48" Type="http://schemas.openxmlformats.org/officeDocument/2006/relationships/hyperlink" Target="https://www.sec.gov/Archives/edgar/data/1004434/000104746904016516/a2135956zex-10_1.txt" TargetMode="External"/><Relationship Id="rId49" Type="http://schemas.openxmlformats.org/officeDocument/2006/relationships/hyperlink" Target="https://www.sec.gov/Archives/edgar/data/1004434/000104746904016516/a2135956zex-10_1.txt" TargetMode="External"/><Relationship Id="rId50" Type="http://schemas.openxmlformats.org/officeDocument/2006/relationships/hyperlink" Target="https://www.sec.gov/Archives/edgar/data/1004434/000100443420000029/amg06302020exhibit104.htm" TargetMode="External"/><Relationship Id="rId51" Type="http://schemas.openxmlformats.org/officeDocument/2006/relationships/hyperlink" Target="https://www.sec.gov/Archives/edgar/data/1004434/000100443420000029/amg06302020exhibit104.htm" TargetMode="External"/><Relationship Id="rId52" Type="http://schemas.openxmlformats.org/officeDocument/2006/relationships/hyperlink" Target="https://www.sec.gov/Archives/edgar/data/1004434/000100443414000006/exhibit106-xamendedandrest.htm" TargetMode="External"/><Relationship Id="rId53" Type="http://schemas.openxmlformats.org/officeDocument/2006/relationships/hyperlink" Target="https://www.sec.gov/Archives/edgar/data/1004434/000100443414000006/exhibit106-xamendedandrest.htm" TargetMode="External"/><Relationship Id="rId54" Type="http://schemas.openxmlformats.org/officeDocument/2006/relationships/hyperlink" Target="https://www.sec.gov/Archives/edgar/data/1004434/000104746909002123/a2190957zex-10_9.htm" TargetMode="External"/><Relationship Id="rId55" Type="http://schemas.openxmlformats.org/officeDocument/2006/relationships/hyperlink" Target="https://www.sec.gov/Archives/edgar/data/1004434/000104746909002123/a2190957zex-10_9.htm" TargetMode="External"/><Relationship Id="rId56" Type="http://schemas.openxmlformats.org/officeDocument/2006/relationships/hyperlink" Target="https://www.sec.gov/Archives/edgar/data/1004434/000100443420000029/amg06302020exhibit101.htm" TargetMode="External"/><Relationship Id="rId57" Type="http://schemas.openxmlformats.org/officeDocument/2006/relationships/hyperlink" Target="https://www.sec.gov/Archives/edgar/data/1004434/000100443420000029/amg06302020exhibit101.htm" TargetMode="External"/><Relationship Id="rId58" Type="http://schemas.openxmlformats.org/officeDocument/2006/relationships/hyperlink" Target="https://www.sec.gov/Archives/edgar/data/1004434/000100443420000011/amgexhibit1014123119.htm" TargetMode="External"/><Relationship Id="rId59" Type="http://schemas.openxmlformats.org/officeDocument/2006/relationships/hyperlink" Target="https://www.sec.gov/Archives/edgar/data/1004434/000100443420000011/amgexhibit1014123119.htm" TargetMode="External"/><Relationship Id="rId60" Type="http://schemas.openxmlformats.org/officeDocument/2006/relationships/hyperlink" Target="https://www.sec.gov/Archives/edgar/data/1004434/000119312520198612/d919223dex47.htm" TargetMode="External"/><Relationship Id="rId61" Type="http://schemas.openxmlformats.org/officeDocument/2006/relationships/hyperlink" Target="https://www.sec.gov/Archives/edgar/data/1004434/000119312520198612/d919223dex47.htm" TargetMode="External"/><Relationship Id="rId62" Type="http://schemas.openxmlformats.org/officeDocument/2006/relationships/hyperlink" Target="https://www.sec.gov/Archives/edgar/data/1004434/000100443420000011/amgexhibit1015123119.htm" TargetMode="External"/><Relationship Id="rId63" Type="http://schemas.openxmlformats.org/officeDocument/2006/relationships/hyperlink" Target="https://www.sec.gov/Archives/edgar/data/1004434/000100443420000011/amgexhibit1015123119.htm" TargetMode="External"/><Relationship Id="rId64" Type="http://schemas.openxmlformats.org/officeDocument/2006/relationships/hyperlink" Target="https://www.sec.gov/Archives/edgar/data/1004434/000100443420000011/amgexhibit1015123119.htm" TargetMode="External"/><Relationship Id="rId65" Type="http://schemas.openxmlformats.org/officeDocument/2006/relationships/hyperlink" Target="https://www.sec.gov/Archives/edgar/data/1004434/000100443420000029/amg06302020exhibit1011.htm" TargetMode="External"/><Relationship Id="rId66" Type="http://schemas.openxmlformats.org/officeDocument/2006/relationships/hyperlink" Target="https://www.sec.gov/Archives/edgar/data/1004434/000100443420000029/amg06302020exhibit1011.htm" TargetMode="External"/><Relationship Id="rId67" Type="http://schemas.openxmlformats.org/officeDocument/2006/relationships/hyperlink" Target="https://www.sec.gov/Archives/edgar/data/1004434/000100443420000011/amgexhibit1018123119.htm" TargetMode="External"/><Relationship Id="rId68" Type="http://schemas.openxmlformats.org/officeDocument/2006/relationships/hyperlink" Target="https://www.sec.gov/Archives/edgar/data/1004434/000100443420000011/amgexhibit1018123119.htm" TargetMode="External"/><Relationship Id="rId69" Type="http://schemas.openxmlformats.org/officeDocument/2006/relationships/hyperlink" Target="https://www.sec.gov/Archives/edgar/data/1004434/000100443420000011/amgexhibit1019123119.htm" TargetMode="External"/><Relationship Id="rId70" Type="http://schemas.openxmlformats.org/officeDocument/2006/relationships/hyperlink" Target="https://www.sec.gov/Archives/edgar/data/1004434/000100443420000011/amgexhibit1019123119.htm" TargetMode="External"/><Relationship Id="rId71" Type="http://schemas.openxmlformats.org/officeDocument/2006/relationships/hyperlink" Target="https://www.sec.gov/Archives/edgar/data/1004434/000100443414000006/exhibit1015_xrsawardagreem.htm" TargetMode="External"/><Relationship Id="rId72" Type="http://schemas.openxmlformats.org/officeDocument/2006/relationships/hyperlink" Target="https://www.sec.gov/Archives/edgar/data/1004434/000100443414000006/exhibit1015_xrsawardagreem.htm" TargetMode="External"/><Relationship Id="rId73" Type="http://schemas.openxmlformats.org/officeDocument/2006/relationships/hyperlink" Target="https://www.sec.gov/Archives/edgar/data/1004434/000100443414000006/exhibit1015_xrsawardagreem.htm" TargetMode="External"/><Relationship Id="rId74" Type="http://schemas.openxmlformats.org/officeDocument/2006/relationships/hyperlink" Target="https://www.sec.gov/Archives/edgar/data/1004434/000100443421000023/amg_exhibit101x33121.htm" TargetMode="External"/><Relationship Id="rId75" Type="http://schemas.openxmlformats.org/officeDocument/2006/relationships/hyperlink" Target="https://www.sec.gov/Archives/edgar/data/1004434/000100443421000023/amg_exhibit101x33121.htm" TargetMode="External"/><Relationship Id="rId76" Type="http://schemas.openxmlformats.org/officeDocument/2006/relationships/hyperlink" Target="https://www.sec.gov/Archives/edgar/data/1004434/000100443421000023/amg_exhibit101x33121.htm" TargetMode="External"/><Relationship Id="rId77" Type="http://schemas.openxmlformats.org/officeDocument/2006/relationships/hyperlink" Target="https://www.sec.gov/Archives/edgar/data/1004434/000100443421000023/amg_exhibit101x33121.htm" TargetMode="External"/><Relationship Id="rId78" Type="http://schemas.openxmlformats.org/officeDocument/2006/relationships/hyperlink" Target="https://www.sec.gov/Archives/edgar/data/1004434/000100443421000023/amg_exhibit101x33121.htm" TargetMode="External"/><Relationship Id="rId79" Type="http://schemas.openxmlformats.org/officeDocument/2006/relationships/hyperlink" Target="https://www.sec.gov/Archives/edgar/data/1004434/000100443424000010/amg_exhibit1020x123123.htm" TargetMode="External"/><Relationship Id="rId80" Type="http://schemas.openxmlformats.org/officeDocument/2006/relationships/hyperlink" Target="https://www.sec.gov/Archives/edgar/data/1004434/000100443424000010/amg_exhibit1020x123123.htm" TargetMode="External"/><Relationship Id="rId81" Type="http://schemas.openxmlformats.org/officeDocument/2006/relationships/hyperlink" Target="https://www.sec.gov/Archives/edgar/data/1004434/000100443420000029/amg06302020exhibit109.htm" TargetMode="External"/><Relationship Id="rId82" Type="http://schemas.openxmlformats.org/officeDocument/2006/relationships/hyperlink" Target="https://www.sec.gov/Archives/edgar/data/1004434/000100443420000029/amg06302020exhibit109.htm" TargetMode="External"/><Relationship Id="rId83" Type="http://schemas.openxmlformats.org/officeDocument/2006/relationships/hyperlink" Target="https://www.sec.gov/Archives/edgar/data/1004434/000104746911001624/a2202148zex-10_15.htm" TargetMode="External"/><Relationship Id="rId84" Type="http://schemas.openxmlformats.org/officeDocument/2006/relationships/hyperlink" Target="https://www.sec.gov/Archives/edgar/data/1004434/000104746911001624/a2202148zex-10_15.htm" TargetMode="External"/><Relationship Id="rId85" Type="http://schemas.openxmlformats.org/officeDocument/2006/relationships/hyperlink" Target="https://www.sec.gov/Archives/edgar/data/1004434/000119312524259866/d893880dex101.htm" TargetMode="External"/><Relationship Id="rId86" Type="http://schemas.openxmlformats.org/officeDocument/2006/relationships/hyperlink" Target="https://www.sec.gov/Archives/edgar/data/1004434/000119312524259866/d893880dex101.htm" TargetMode="External"/><Relationship Id="rId87" Type="http://schemas.openxmlformats.org/officeDocument/2006/relationships/hyperlink" Target="https://www.sec.gov/Archives/edgar/data/1004434/000119312524259866/d893880dex101.htm" TargetMode="External"/><Relationship Id="rId88" Type="http://schemas.openxmlformats.org/officeDocument/2006/relationships/hyperlink" Target="https://www.sec.gov/Archives/edgar/data/1004434/000119312524259866/d893880dex101.htm" TargetMode="External"/><Relationship Id="rId89" Type="http://schemas.openxmlformats.org/officeDocument/2006/relationships/hyperlink" Target="https://www.sec.gov/Archives/edgar/data/1004434/000119312525049936/d784451dex11.htm" TargetMode="External"/><Relationship Id="rId90" Type="http://schemas.openxmlformats.org/officeDocument/2006/relationships/hyperlink" Target="https://www.sec.gov/Archives/edgar/data/1004434/000119312525049936/d784451dex11.htm" TargetMode="External"/><Relationship Id="rId91" Type="http://schemas.openxmlformats.org/officeDocument/2006/relationships/hyperlink" Target="https://www.sec.gov/Archives/edgar/data/1004434/000119312525049936/d784451dex11.htm" TargetMode="External"/><Relationship Id="rId92" Type="http://schemas.openxmlformats.org/officeDocument/2006/relationships/hyperlink" Target="https://www.sec.gov/Archives/edgar/data/1004434/000119312525049936/d784451dex101.htm" TargetMode="External"/><Relationship Id="rId93" Type="http://schemas.openxmlformats.org/officeDocument/2006/relationships/hyperlink" Target="https://www.sec.gov/Archives/edgar/data/1004434/000119312525049936/d784451dex101.htm" TargetMode="External"/><Relationship Id="rId94" Type="http://schemas.openxmlformats.org/officeDocument/2006/relationships/hyperlink" Target="https://www.sec.gov/Archives/edgar/data/1004434/000100443424000010/amg_exhibit97x123123.htm" TargetMode="External"/><Relationship Id="rId95" Type="http://schemas.openxmlformats.org/officeDocument/2006/relationships/hyperlink" Target="https://www.sec.gov/Archives/edgar/data/1004434/000100443424000010/amg_exhibit97x123123.htm" TargetMode="External"/><Relationship Id="rId96" Type="http://schemas.openxmlformats.org/officeDocument/2006/relationships/fontTable" Target="fontTable.xml"/><Relationship Id="rId9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79045</Words>
  <Characters>364352</Characters>
  <CharactersWithSpaces>441211</CharactersWithSpaces>
  <Paragraphs>6840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