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457835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909" w:orient="portrait"/>
          <w:cols w:equalWidth="0" w:num="1">
            <w:col w:w="11180"/>
          </w:cols>
          <w:pgMar w:left="320" w:top="233" w:right="3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left="240"/>
        <w:spacing w:after="0"/>
        <w:rPr>
          <w:sz w:val="20"/>
          <w:szCs w:val="20"/>
          <w:color w:val="auto"/>
        </w:rPr>
      </w:pPr>
      <w:r>
        <w:rPr>
          <w:rFonts w:ascii="Arial" w:cs="Arial" w:eastAsia="Arial" w:hAnsi="Arial"/>
          <w:sz w:val="17"/>
          <w:szCs w:val="17"/>
          <w:b w:val="1"/>
          <w:bCs w:val="1"/>
          <w:color w:val="auto"/>
        </w:rPr>
        <w:t>(Mark One)</w:t>
      </w:r>
    </w:p>
    <w:p>
      <w:pPr>
        <w:spacing w:after="0" w:line="262"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3"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ind w:left="780"/>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59" w:lineRule="exact"/>
        <w:rPr>
          <w:sz w:val="24"/>
          <w:szCs w:val="24"/>
          <w:color w:val="auto"/>
        </w:rPr>
      </w:pPr>
    </w:p>
    <w:p>
      <w:pPr>
        <w:ind w:left="2800"/>
        <w:spacing w:after="0"/>
        <w:rPr>
          <w:sz w:val="20"/>
          <w:szCs w:val="20"/>
          <w:color w:val="auto"/>
        </w:rPr>
      </w:pPr>
      <w:r>
        <w:rPr>
          <w:rFonts w:ascii="Arial" w:cs="Arial" w:eastAsia="Arial" w:hAnsi="Arial"/>
          <w:sz w:val="25"/>
          <w:szCs w:val="25"/>
          <w:b w:val="1"/>
          <w:bCs w:val="1"/>
          <w:color w:val="auto"/>
        </w:rPr>
        <w:t>FORM 10-K</w:t>
      </w:r>
    </w:p>
    <w:p>
      <w:pPr>
        <w:spacing w:after="0" w:line="275" w:lineRule="exact"/>
        <w:rPr>
          <w:sz w:val="24"/>
          <w:szCs w:val="24"/>
          <w:color w:val="auto"/>
        </w:rPr>
      </w:pPr>
    </w:p>
    <w:p>
      <w:pPr>
        <w:ind w:right="1140"/>
        <w:spacing w:after="0" w:line="235" w:lineRule="auto"/>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6"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11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OR</w:t>
      </w:r>
    </w:p>
    <w:p>
      <w:pPr>
        <w:spacing w:after="0" w:line="283" w:lineRule="exact"/>
        <w:rPr>
          <w:sz w:val="24"/>
          <w:szCs w:val="24"/>
          <w:color w:val="auto"/>
        </w:rPr>
      </w:pPr>
    </w:p>
    <w:p>
      <w:pPr>
        <w:ind w:right="700"/>
        <w:spacing w:after="0" w:line="235"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6" w:lineRule="exact"/>
        <w:rPr>
          <w:sz w:val="24"/>
          <w:szCs w:val="24"/>
          <w:color w:val="auto"/>
        </w:rPr>
      </w:pPr>
    </w:p>
    <w:p>
      <w:pPr>
        <w:ind w:left="1980"/>
        <w:spacing w:after="0"/>
        <w:tabs>
          <w:tab w:leader="none" w:pos="4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Commission File Number 001-13459</w:t>
      </w:r>
    </w:p>
    <w:p>
      <w:pPr>
        <w:spacing w:after="0" w:line="144" w:lineRule="exact"/>
        <w:rPr>
          <w:sz w:val="24"/>
          <w:szCs w:val="24"/>
          <w:color w:val="auto"/>
        </w:rPr>
      </w:pPr>
    </w:p>
    <w:p>
      <w:pPr>
        <w:ind w:left="820"/>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1818005</wp:posOffset>
            </wp:positionH>
            <wp:positionV relativeFrom="paragraph">
              <wp:posOffset>115570</wp:posOffset>
            </wp:positionV>
            <wp:extent cx="79692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6925" cy="720090"/>
                    </a:xfrm>
                    <a:prstGeom prst="rect">
                      <a:avLst/>
                    </a:prstGeom>
                    <a:noFill/>
                  </pic:spPr>
                </pic:pic>
              </a:graphicData>
            </a:graphic>
          </wp:anchor>
        </w:drawing>
      </w:r>
    </w:p>
    <w:p>
      <w:pPr>
        <w:spacing w:after="0" w:line="200" w:lineRule="exact"/>
        <w:rPr>
          <w:sz w:val="24"/>
          <w:szCs w:val="24"/>
          <w:color w:val="auto"/>
        </w:rPr>
      </w:pPr>
    </w:p>
    <w:p>
      <w:pPr>
        <w:sectPr>
          <w:pgSz w:w="11900" w:h="16909" w:orient="portrait"/>
          <w:cols w:equalWidth="0" w:num="2">
            <w:col w:w="1420" w:space="720"/>
            <w:col w:w="9040"/>
          </w:cols>
          <w:pgMar w:left="32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AFFILIATED MANAGERS GROUP,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860"/>
        <w:spacing w:after="0"/>
        <w:tabs>
          <w:tab w:leader="none" w:pos="75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04-3218510</w:t>
      </w:r>
    </w:p>
    <w:p>
      <w:pPr>
        <w:spacing w:after="0" w:line="11" w:lineRule="exact"/>
        <w:rPr>
          <w:sz w:val="24"/>
          <w:szCs w:val="24"/>
          <w:color w:val="auto"/>
        </w:rPr>
      </w:pPr>
    </w:p>
    <w:p>
      <w:pPr>
        <w:ind w:left="2260"/>
        <w:spacing w:after="0"/>
        <w:tabs>
          <w:tab w:leader="none" w:pos="660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6"/>
          <w:szCs w:val="16"/>
          <w:color w:val="auto"/>
        </w:rPr>
        <w:t>(IRS Employer Identification Number)</w:t>
      </w:r>
    </w:p>
    <w:p>
      <w:pPr>
        <w:ind w:left="2040"/>
        <w:spacing w:after="0"/>
        <w:rPr>
          <w:sz w:val="20"/>
          <w:szCs w:val="20"/>
          <w:color w:val="auto"/>
        </w:rPr>
      </w:pPr>
      <w:r>
        <w:rPr>
          <w:rFonts w:ascii="Arial" w:cs="Arial" w:eastAsia="Arial" w:hAnsi="Arial"/>
          <w:sz w:val="18"/>
          <w:szCs w:val="18"/>
          <w:color w:val="auto"/>
        </w:rPr>
        <w:t>of incorporation or organization)</w:t>
      </w:r>
    </w:p>
    <w:p>
      <w:pPr>
        <w:spacing w:after="0" w:line="3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777 South Flagler Drive, West Palm Beach, Florida, 33401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108585</wp:posOffset>
            </wp:positionV>
            <wp:extent cx="3197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1000" w:type="dxa"/>
        <w:tblCellMar>
          <w:top w:w="0" w:type="dxa"/>
          <w:left w:w="0" w:type="dxa"/>
          <w:bottom w:w="0" w:type="dxa"/>
          <w:right w:w="0" w:type="dxa"/>
        </w:tblCellMar>
      </w:tblPr>
      <w:tr>
        <w:trPr>
          <w:trHeight w:val="186"/>
        </w:trPr>
        <w:tc>
          <w:tcPr>
            <w:tcW w:w="3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Trading Symbol(s)</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($0.01 par value)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AMG</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5.875% Junior Subordinated Notes due 2059</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MGR</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7"/>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4.750% Junior Subordinated Notes due 2060</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MGRB</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4.200% Junior Subordinated Notes due 2061</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MGRD</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0" w:lineRule="exact"/>
        <w:rPr>
          <w:sz w:val="24"/>
          <w:szCs w:val="24"/>
          <w:color w:val="auto"/>
        </w:rPr>
      </w:pPr>
    </w:p>
    <w:p>
      <w:pPr>
        <w:spacing w:after="0" w:line="291"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460" w:type="dxa"/>
            <w:vAlign w:val="bottom"/>
            <w:gridSpan w:val="2"/>
          </w:tcPr>
          <w:p>
            <w:pPr>
              <w:ind w:left="2300"/>
              <w:spacing w:after="0"/>
              <w:rPr>
                <w:sz w:val="20"/>
                <w:szCs w:val="20"/>
                <w:color w:val="auto"/>
              </w:rPr>
            </w:pPr>
            <w:r>
              <w:rPr>
                <w:rFonts w:ascii="Arial" w:cs="Arial" w:eastAsia="Arial" w:hAnsi="Arial"/>
                <w:sz w:val="18"/>
                <w:szCs w:val="18"/>
                <w:b w:val="1"/>
                <w:bCs w:val="1"/>
                <w:color w:val="auto"/>
              </w:rPr>
              <w:t>None</w:t>
            </w:r>
          </w:p>
        </w:tc>
        <w:tc>
          <w:tcPr>
            <w:tcW w:w="580" w:type="dxa"/>
            <w:vAlign w:val="bottom"/>
          </w:tcPr>
          <w:p>
            <w:pPr>
              <w:spacing w:after="0"/>
              <w:rPr>
                <w:sz w:val="20"/>
                <w:szCs w:val="20"/>
                <w:color w:val="auto"/>
              </w:rPr>
            </w:pPr>
          </w:p>
        </w:tc>
      </w:tr>
      <w:tr>
        <w:trPr>
          <w:trHeight w:val="121"/>
        </w:trPr>
        <w:tc>
          <w:tcPr>
            <w:tcW w:w="2620" w:type="dxa"/>
            <w:vAlign w:val="bottom"/>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499"/>
        </w:trPr>
        <w:tc>
          <w:tcPr>
            <w:tcW w:w="9080" w:type="dxa"/>
            <w:vAlign w:val="bottom"/>
            <w:gridSpan w:val="3"/>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58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364"/>
        </w:trPr>
        <w:tc>
          <w:tcPr>
            <w:tcW w:w="90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580" w:type="dxa"/>
            <w:vAlign w:val="bottom"/>
          </w:tcPr>
          <w:p>
            <w:pPr>
              <w:ind w:left="14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r>
    </w:tbl>
    <w:p>
      <w:pPr>
        <w:spacing w:after="0" w:line="101" w:lineRule="exact"/>
        <w:rPr>
          <w:sz w:val="24"/>
          <w:szCs w:val="24"/>
          <w:color w:val="auto"/>
        </w:rPr>
      </w:pPr>
    </w:p>
    <w:p>
      <w:pPr>
        <w:ind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909" w:orient="portrait"/>
          <w:cols w:equalWidth="0" w:num="1">
            <w:col w:w="11180"/>
          </w:cols>
          <w:pgMar w:left="320" w:top="233" w:right="399" w:bottom="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25" w:right="359" w:bottom="1440" w:gutter="0" w:footer="0" w:header="0"/>
        </w:sect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Emerging growth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84" w:lineRule="exact"/>
        <w:rPr>
          <w:sz w:val="20"/>
          <w:szCs w:val="20"/>
          <w:color w:val="auto"/>
        </w:rPr>
      </w:pPr>
    </w:p>
    <w:p>
      <w:pPr>
        <w:sectPr>
          <w:pgSz w:w="11900" w:h="16838" w:orient="portrait"/>
          <w:cols w:equalWidth="0" w:num="10">
            <w:col w:w="1760" w:space="220"/>
            <w:col w:w="160" w:space="400"/>
            <w:col w:w="1200" w:space="260"/>
            <w:col w:w="160" w:space="420"/>
            <w:col w:w="1520" w:space="300"/>
            <w:col w:w="160" w:space="240"/>
            <w:col w:w="1960" w:space="100"/>
            <w:col w:w="160" w:space="420"/>
            <w:col w:w="1260" w:space="300"/>
            <w:col w:w="220"/>
          </w:cols>
          <w:pgMar w:left="320" w:top="125" w:right="359" w:bottom="1440" w:gutter="0" w:footer="0" w:header="0"/>
          <w:type w:val="continuous"/>
        </w:sectPr>
      </w:pPr>
    </w:p>
    <w:p>
      <w:pPr>
        <w:spacing w:after="0" w:line="36"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6" w:lineRule="exact"/>
        <w:rPr>
          <w:sz w:val="20"/>
          <w:szCs w:val="20"/>
          <w:color w:val="auto"/>
        </w:rPr>
      </w:pPr>
    </w:p>
    <w:p>
      <w:pPr>
        <w:ind w:right="60" w:firstLine="486"/>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5" w:lineRule="exact"/>
        <w:rPr>
          <w:sz w:val="20"/>
          <w:szCs w:val="20"/>
          <w:color w:val="auto"/>
        </w:rPr>
      </w:pPr>
    </w:p>
    <w:p>
      <w:pPr>
        <w:ind w:right="240" w:firstLine="486"/>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9" w:lineRule="exact"/>
        <w:rPr>
          <w:sz w:val="20"/>
          <w:szCs w:val="20"/>
          <w:color w:val="auto"/>
        </w:rPr>
      </w:pPr>
    </w:p>
    <w:p>
      <w:pPr>
        <w:ind w:left="500"/>
        <w:spacing w:after="0" w:line="196" w:lineRule="exact"/>
        <w:tabs>
          <w:tab w:leader="none" w:pos="8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At June 30, 2022, the aggregate market value of the common stock held by non-affiliates of the registrant, based upon the closing price of $116.60 on June 30, 2022 on the New York Stock Exchange, was $4,429,403,715. There were 35,859,783 shares of the registrant’s common stock outstanding on February 15, 2023.</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within 120 days after December 31, 2022, and delivered to stockholders in connection with the registrant’s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40" w:type="dxa"/>
            <w:vAlign w:val="bottom"/>
            <w:gridSpan w:val="9"/>
          </w:tcPr>
          <w:p>
            <w:pPr>
              <w:jc w:val="center"/>
              <w:ind w:right="4640"/>
              <w:spacing w:after="0"/>
              <w:rPr>
                <w:sz w:val="20"/>
                <w:szCs w:val="20"/>
                <w:color w:val="auto"/>
              </w:rPr>
            </w:pPr>
            <w:r>
              <w:rPr>
                <w:rFonts w:ascii="Arial" w:cs="Arial" w:eastAsia="Arial" w:hAnsi="Arial"/>
                <w:sz w:val="18"/>
                <w:szCs w:val="18"/>
                <w:b w:val="1"/>
                <w:bCs w:val="1"/>
                <w:color w:val="auto"/>
              </w:rPr>
              <w:t>FORM 10-K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10"/>
          </w:tcPr>
          <w:p>
            <w:pPr>
              <w:jc w:val="center"/>
              <w:ind w:right="442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8"/>
              </w:rPr>
              <w:t>PART I</w:t>
            </w:r>
          </w:p>
        </w:tc>
        <w:tc>
          <w:tcPr>
            <w:tcW w:w="9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900" w:type="dxa"/>
            <w:vAlign w:val="bottom"/>
            <w:gridSpan w:val="4"/>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Business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1A.</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1B.</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1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Properties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900" w:type="dxa"/>
            <w:vAlign w:val="bottom"/>
            <w:gridSpan w:val="4"/>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900" w:type="dxa"/>
            <w:vAlign w:val="bottom"/>
            <w:gridSpan w:val="4"/>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gridSpan w:val="7"/>
          </w:tcPr>
          <w:p>
            <w:pPr>
              <w:spacing w:after="0" w:line="189" w:lineRule="exact"/>
              <w:rPr>
                <w:sz w:val="20"/>
                <w:szCs w:val="20"/>
                <w:color w:val="auto"/>
              </w:rPr>
            </w:pPr>
            <w:r>
              <w:rPr>
                <w:rFonts w:ascii="Arial" w:cs="Arial" w:eastAsia="Arial" w:hAnsi="Arial"/>
                <w:sz w:val="18"/>
                <w:szCs w:val="18"/>
                <w:b w:val="1"/>
                <w:bCs w:val="1"/>
                <w:color w:val="0000FF"/>
              </w:rPr>
              <w:t>PART II</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4"/>
              </w:rPr>
              <w:t>Item 5.</w:t>
            </w:r>
          </w:p>
        </w:tc>
        <w:tc>
          <w:tcPr>
            <w:tcW w:w="880" w:type="dxa"/>
            <w:vAlign w:val="bottom"/>
            <w:gridSpan w:val="3"/>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79"/>
              </w:rPr>
              <w:t>17</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6520" w:type="dxa"/>
            <w:vAlign w:val="bottom"/>
            <w:tcBorders>
              <w:top w:val="single" w:sz="8" w:color="0000FF"/>
            </w:tcBorders>
            <w:gridSpan w:val="17"/>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rPr>
              <w:t>Item 7.</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7A.</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8.</w:t>
            </w:r>
          </w:p>
        </w:tc>
        <w:tc>
          <w:tcPr>
            <w:tcW w:w="1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9.</w:t>
            </w:r>
          </w:p>
        </w:tc>
        <w:tc>
          <w:tcPr>
            <w:tcW w:w="900" w:type="dxa"/>
            <w:vAlign w:val="bottom"/>
            <w:gridSpan w:val="4"/>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9A.</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5"/>
              </w:rPr>
              <w:t>Item 9B.</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Arial" w:cs="Arial" w:eastAsia="Arial" w:hAnsi="Arial"/>
                <w:sz w:val="18"/>
                <w:szCs w:val="18"/>
                <w:color w:val="0000FF"/>
                <w:w w:val="94"/>
              </w:rPr>
              <w:t>Item 9C.</w:t>
            </w:r>
          </w:p>
        </w:tc>
        <w:tc>
          <w:tcPr>
            <w:tcW w:w="740" w:type="dxa"/>
            <w:vAlign w:val="bottom"/>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Borders>
              <w:bottom w:val="single" w:sz="8" w:color="0000FF"/>
            </w:tcBorders>
            <w:gridSpan w:val="6"/>
          </w:tcPr>
          <w:p>
            <w:pPr>
              <w:spacing w:after="0" w:line="189" w:lineRule="exact"/>
              <w:rPr>
                <w:sz w:val="20"/>
                <w:szCs w:val="20"/>
                <w:color w:val="auto"/>
              </w:rPr>
            </w:pPr>
            <w:r>
              <w:rPr>
                <w:rFonts w:ascii="Arial" w:cs="Arial" w:eastAsia="Arial" w:hAnsi="Arial"/>
                <w:sz w:val="18"/>
                <w:szCs w:val="18"/>
                <w:b w:val="1"/>
                <w:bCs w:val="1"/>
                <w:color w:val="0000FF"/>
              </w:rPr>
              <w:t>PART III</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10.</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11.</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12.</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13.</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14.</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gridSpan w:val="7"/>
          </w:tcPr>
          <w:p>
            <w:pPr>
              <w:spacing w:after="0"/>
              <w:rPr>
                <w:sz w:val="20"/>
                <w:szCs w:val="20"/>
                <w:color w:val="auto"/>
              </w:rPr>
            </w:pPr>
            <w:r>
              <w:rPr>
                <w:rFonts w:ascii="Arial" w:cs="Arial" w:eastAsia="Arial" w:hAnsi="Arial"/>
                <w:sz w:val="18"/>
                <w:szCs w:val="18"/>
                <w:b w:val="1"/>
                <w:bCs w:val="1"/>
                <w:color w:val="0000FF"/>
              </w:rPr>
              <w:t>PART IV</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15.</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Exhibit and Financial Statement Schedules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16.</w:t>
            </w:r>
          </w:p>
        </w:tc>
        <w:tc>
          <w:tcPr>
            <w:tcW w:w="820" w:type="dxa"/>
            <w:vAlign w:val="bottom"/>
            <w:gridSpan w:val="2"/>
          </w:tcPr>
          <w:p>
            <w:pPr>
              <w:spacing w:after="0"/>
              <w:rPr>
                <w:sz w:val="18"/>
                <w:szCs w:val="18"/>
                <w:color w:val="auto"/>
              </w:rPr>
            </w:pPr>
          </w:p>
        </w:tc>
        <w:tc>
          <w:tcPr>
            <w:tcW w:w="9460" w:type="dxa"/>
            <w:vAlign w:val="bottom"/>
            <w:gridSpan w:val="22"/>
          </w:tcPr>
          <w:p>
            <w:pPr>
              <w:spacing w:after="0"/>
              <w:rPr>
                <w:sz w:val="20"/>
                <w:szCs w:val="20"/>
                <w:color w:val="auto"/>
              </w:rPr>
            </w:pPr>
            <w:r>
              <w:rPr>
                <w:rFonts w:ascii="Arial" w:cs="Arial" w:eastAsia="Arial" w:hAnsi="Arial"/>
                <w:sz w:val="18"/>
                <w:szCs w:val="18"/>
                <w:color w:val="0000FF"/>
              </w:rPr>
              <w:t>Form 10-K Summary</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Certain matters discussed in this Annual Report on Form 10-K, in our other filings with the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These factors (among others) could affect our financial condition, business activities, results of operations, cash flows, or overall financial performance and cause actual results and business activities to differ materially from historical periods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11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References throughout this report to “AMG,” “we,” “us,” “our,” the “Company” and similar references refer to Affiliated Managers Group, Inc., unless otherwise stated or the context otherwise requires.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AMG is a leading partner to independent investment management firms globally. Our strategy is to generate long-term value by investing in a diverse array of high-quality independent partner-owned firms, referred to as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distribution, and other strategic value-added capabilities, which enhance the long-term growth of these independent businesses, and enable them to align equity incentives across generations of principals to build enduring franchises. As of December 31, 2022, our aggregate assets under management were approximately $651 billion across a broad range of differentiated investment strategies.</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generate long-term value by investing in new and existing Affiliates, and strategic value-add capabilities through which we can leverage our scale and resources on behalf of our Affiliates, and then by returning excess capital to shareholders, primarily through share repurchases. We are focused on investing in areas of secular growth and long-term client demand, including in private markets, liquid alternatives, Asia, wealth management, and sustainable investing; accordingly, we partner with leading independent investment firms managing differentiated strategies in the aforementioned growth areas.</w:t>
      </w:r>
    </w:p>
    <w:p>
      <w:pPr>
        <w:spacing w:after="0" w:line="12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Through our partnership approach, we hold meaningful equity interests in each of our Affiliates, and typically each Affiliate’s management team retains a significant equity interest in their own firm. Affiliate management equity ownership (along with our long-term ownership) aligns our interests and preserves Affiliate management equity incentives, including the opportunity for Affiliate management to participate directly in the long-term future growth and profitability of their firms.</w:t>
      </w:r>
    </w:p>
    <w:p>
      <w:pPr>
        <w:spacing w:after="0" w:line="106"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Our goal in partnering with Affiliates is to be an excellent and engaged partner, and to collaborate with Affiliates to magnify each firm’s long-term success. We take a long-term partnership approach with our Affiliates, which provides stability in facilitating succession planning across generations of Affiliate management principals. We are uniquely able to provide strategic capabilities and expertise across various stages of our Affiliates’ growth. In certain cases, we invest in our Affiliates by providing growth capital or complementing their own marketing resources with our proven product development and distribution capabilities. We also provide succession planning solutions and advice to many of our Affiliates, which can include a degree of liquidity and financial diversification along with incentive alignment for next-generation partners.</w:t>
      </w:r>
    </w:p>
    <w:p>
      <w:pPr>
        <w:spacing w:after="0" w:line="11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Our innovative partnership approach enhances our Affiliates’ ability to achieve their long-term strategic objectives while maintaining their unique entrepreneurial cultures, investment independence, and operational autonomy in managing their businesses. We believe that clients recognize these fundamental characteristics of partner-owned firms, as well as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alignment created by direct equity ownership by firm principals, as competitive advantages for firms in achieving client investment goals and objectives.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approach preserves these essential elements of our Affiliates’ success.</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Independent firms seeking an institutional partner are attracted to our unique partnership approach and our global reputation and track record across three decades as a successful strategic partner to independent investment firms around the world.</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anticipate that the principal owners of independent investment firms will continue to seek access to an evolving range of growth and succession solutions. We will, therefore, continue to have a significant opportunity to invest in additional high-quality firms across the global investment management industry. In addition, we have the opportunity to make additional equity investments in our existing Affiliates, or invest in their growth by providing seed or other growth capital. We are well-positioned to execute upon these investment opportunities through our:</w:t>
      </w:r>
    </w:p>
    <w:p>
      <w:pPr>
        <w:spacing w:after="0" w:line="10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established process of identifying and cultivating high-quality prospective Affiliates;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broad industry network and proprietary relationships developed with prospects over many years;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substantial experience and expertise in structuring and negotiating transactions;</w:t>
      </w:r>
    </w:p>
    <w:p>
      <w:pPr>
        <w:spacing w:after="0" w:line="15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reputation as an outstanding partner to our Affiliates, as well as for providing innovative solutions for the strategic needs of independent investment firms; and</w:t>
      </w:r>
    </w:p>
    <w:p>
      <w:pPr>
        <w:spacing w:after="0" w:line="8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 engagement with our Affiliates to enhance their long-term prospects, including through new product development, distribution, and other business development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1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Affiliates provide a diverse range of differentiated return streams through their specialized investment processes. Given their long-term performance records, our Affiliates are recognized as being among the industry’s leaders in their respective investment disciplines. Our Affiliates’ attractive return streams are utilized in client portfolios to address a range of specialized needs for institutional and wealth clients globally; certain Affiliates also provide investment management and customized investment counseling and fiduciary services to high net worth individuals and families and institutional clients.</w:t>
      </w:r>
    </w:p>
    <w:p>
      <w:pPr>
        <w:spacing w:after="0" w:line="10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of December 31, 2022, our Affiliates managed approximately $651 billion across a range of investment styles and geographies, in equity, alternative, and multi-asset and fixed income strategies, as the following chart illustrates.</w:t>
      </w:r>
    </w:p>
    <w:p>
      <w:pPr>
        <w:spacing w:after="0" w:line="148" w:lineRule="exact"/>
        <w:rPr>
          <w:sz w:val="20"/>
          <w:szCs w:val="20"/>
          <w:color w:val="auto"/>
        </w:rPr>
      </w:pPr>
    </w:p>
    <w:p>
      <w:pPr>
        <w:ind w:left="4880"/>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283845</wp:posOffset>
            </wp:positionV>
            <wp:extent cx="5006340" cy="2383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63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Affiliates currently manage assets for investors in more than 50 countries, including all major developed markets. Our Affiliates distribute their investment services and products to institutional and wealth clients through direct sales efforts and established relationships with consultants and intermediaries around the world through their own business development capabilities.</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addition, AMG supports the long-term growth and client diversification of our Affiliates by operating a distribution platform in which each Affiliate may choose to participate. Our distribution capabilities, which provide access to institutional and wealth clients, serve to extend the reach of our Affiliates’ own business development efforts, including strategy, marketing, distribution, and product development, and our Affiliates benefit from the expertise of our senior sales and marketing professionals servicing the U.S., Europe, the UK, the Middle East, Asia, and Australia.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Partnership Structure and Relationship with Affiliates</w:t>
      </w:r>
    </w:p>
    <w:p>
      <w:pPr>
        <w:spacing w:after="0" w:line="14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and profitability of their firm.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 principals.</w:t>
      </w:r>
    </w:p>
    <w:p>
      <w:pPr>
        <w:spacing w:after="0" w:line="10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Each of our Affiliates operates through distinct legal entities, which affords us the flexibility to design a separate operating agreement for each Affiliate that reflects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10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We and Affiliate management, therefore, participate in any increase or decrease in revenue, and only Affiliate management participates in any increase or decrease in expenses. Under these structured partnership interests our contractual share of revenue generally has priority over distributions to Affiliate management.</w:t>
      </w:r>
    </w:p>
    <w:p>
      <w:pPr>
        <w:spacing w:after="0" w:line="8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agreed-upon expenses. The degree of our exposure to agreed-upon expenses from these structured partnership interests varies by Affiliate, and includes several Affiliates in which we fully share in the expenses of the business.</w:t>
      </w:r>
    </w:p>
    <w:p>
      <w:pPr>
        <w:spacing w:after="0" w:line="10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When we own a controlling equity interest in an Affiliate, we consolidate the Affiliate’s financial results into our Consolidated Financial Statements. When we do not own a controlling equity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income (loss) (net) in our Consolidated Statements of Income, and our interest in these Affiliates is reported in Equity method investments in Affiliates (net) in our Consolidated Balance Sheets.</w:t>
      </w:r>
    </w:p>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Whether we consolidate an Affiliate’s financial results or use the equity method of accounting, we maintain the same innovative partnership approach and offer support and assistance in substantially the same manner for all of our Affiliates. From time to time, we may restructure our interest in an Affiliate to better support the Affiliate’s growth strategy, and if doing so is in the best interest of the Affiliate’s business, management partners, and clients, as well as our stakeholders.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Affiliates compete with numerous investment management firms globally, as well as with subsidiaries of larger financial organizations. These firms may have significantly greater financial, technological, and marketing resources; access to captive distribution; and assets under management. Many of these firms offer an even broader array of products and services that our Affiliates may not, in particular investment strategies such as passively-managed products, including exchange traded funds, which typically carry lower fee rates. Certain Affiliates offer their investment management services to the same client types and, from time to time, may compete with each other for clients. In addition, there are relatively few barriers to entry for new investment management firms, especially for those providing investment management services to institutional and high net worth investors. We believe that the most important factors affecting our Affiliates’ ability to compete for clients are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investment performance, investment styles, and reputations of our Affiliates and their management teams;</w:t>
      </w:r>
    </w:p>
    <w:p>
      <w:pPr>
        <w:spacing w:after="0" w:line="14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differentiation of our Affiliates’ investment strategies and products and the continued development of investment strategies and products to meet the evolving needs and demands of investors;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depth and continuity of our and our Affiliates’ client relationships and the level of client service offered;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strong business relationships by us and our Affiliates with major intermediaries;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success of our and our Affiliates’ distribution efforts.</w:t>
      </w:r>
    </w:p>
    <w:p>
      <w:pPr>
        <w:spacing w:after="0" w:line="15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Additionally, our strategy includes investing in independent partner-owned investment firms, and in this area we compete with a number of acquirers and investors, including investment management companies, private equity firms, sovereign wealth funds, and larger financial organizations. We believe that the most important factors on which we compete for future investments are purchase price and liquidity, our partnership investment model, including the equity incentive structures and access to strategic capabilities we offer, and the breadth and depth of our relationships, and our reputation, with investment firm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ind w:right="360" w:firstLine="324"/>
        <w:spacing w:after="0" w:line="287" w:lineRule="auto"/>
        <w:rPr>
          <w:sz w:val="20"/>
          <w:szCs w:val="20"/>
          <w:color w:val="auto"/>
        </w:rPr>
      </w:pPr>
      <w:r>
        <w:rPr>
          <w:rFonts w:ascii="Arial" w:cs="Arial" w:eastAsia="Arial" w:hAnsi="Arial"/>
          <w:sz w:val="16"/>
          <w:szCs w:val="16"/>
          <w:color w:val="auto"/>
        </w:rPr>
        <w:t>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These regulations are primarily intended to protect the clients of investment advisers and generally grant regulatory authorities broad administrative and enforcement powers.</w:t>
      </w:r>
    </w:p>
    <w:p>
      <w:pPr>
        <w:spacing w:after="0" w:line="11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may be subject to the Advisers Act and are also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funds in the U.S. and in other jurisdictions, and are subject to regulatory requirements in the jurisdictions where those funds are sponsored or offered, including, with respect to mutual funds in the U.S., the Investment Company Act of 1940, as amended (the “Investment Company Act”). The Investment Company Act governs the operations of mutual funds and imposes obligations on their advisers, including investment restrictions and other governance, compliance, reporting and fiduciary obligations relating to the management of mutual funds. Many of our Affiliates are also subject to directives and regulations in the European Union and other jurisdictions relating to funds, such as the Undertakings for the Collective Investment of Transferable Securities (“UCITS”) Directive and the Alternative Investment Fund Managers Directive (“AIFMD”), with respect to depositary functions, remuneration policies and sanctions, among other matters.</w:t>
      </w:r>
    </w:p>
    <w:p>
      <w:pPr>
        <w:spacing w:after="0" w:line="11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authorizations and exemptions. Through our distribution platform, we also engage in sales and marketing activities that extend the reach of our Affiliates’ own business development efforts, and which are subject to regulation in numerous jurisdictions. Our U.S. wealth distribution subsidiary is registered with the SEC under the Advisers Act. This subsidiary sponsors mutual funds registered under the Investment Company Act, and serves as an investment adviser and/or administrator for the AMG Funds complex. In the UK, our institutional distribution subsidiary is regulated by the FCA. We also have institutional distribution subsidiaries or branches of subsidiaries regulated by the Dubai Financial Services Authority, the Securities and Futures Commission in Hong Kong, and the Australian Securities and Investments Commission, and our activities in the European Union are regulated by various regulators in European jurisdictions.</w:t>
      </w:r>
    </w:p>
    <w:p>
      <w:pPr>
        <w:spacing w:after="0" w:line="10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Certain of our Affiliates and our U.S. wealth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(“DOL”) administers ERISA and regulates investment advisers who service retirement plan clients, and has been increasingly active in proposing and adopting additional regulations applicable to the investment management industry. Certain of our Affiliates and our U.S. wealth distribution subsidiary are also members of the National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Futures Association and are regulated by the U.S. Commodity Futures Trading Commission (“CFTC”) with respect to the management of funds and other products that utilize futures, swaps or other CFTC-regulated instruments.</w:t>
      </w:r>
    </w:p>
    <w:p>
      <w:pPr>
        <w:spacing w:after="0" w:line="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certain of our Affiliates and our U.S. wealth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our global distribution subsidiaries may also be subject to other regulatory capital requirements imposed by non-U.S. regulatory authorities.</w:t>
      </w:r>
    </w:p>
    <w:p>
      <w:pPr>
        <w:spacing w:after="0" w:line="11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4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of December 31, 2022, we and our Affiliates had approximately 3,950 employees, the substantial majority of which were employed by our Affiliates and not by AMG. Each Affiliate’s management team retains operational autonomy in managing and operating their business on a day-to-day basis, including with respect to their human capital. Given this, the following is a discussion of AMG’s workforce, or approximately 250 of the total employees, and the policies and cultural initiatives in respect of our human capital.</w:t>
      </w:r>
    </w:p>
    <w:p>
      <w:pPr>
        <w:spacing w:after="0" w:line="1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our reputation are our most important assets, and attracting, retaining, and motivating top talent to execute on our strategic business objectives is a fundamental imperative. We support that imperative through our strong values-based culture, commitment to career development and training, employee engagement, attractive compensation and benefits programs, attention to succession planning, and fostering of diversity and inclusion at all levels of our organization.</w:t>
      </w:r>
    </w:p>
    <w:p>
      <w:pPr>
        <w:spacing w:after="0" w:line="11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leadership training and sponsored skills development programs cover a wide range of subject area expertise as well as career development generally, and are anchored on a comprehensive performance review process, which includes a company-wide 360-degree review program. Further, we support employees’ educational pursuits relating to degree programs and certifications through company-supported time off for professional development and flexible work arrangements tailored to individual employees’ educational goals. We regularly conduct company-wide surveys to solicit feedback from our employees on a variety of topics, including corporate culture, philanthropic interests, remote working, and general job satisfaction, which help us enhance employee engagement and retention. Our annual anonymous employee engagement survey reported an employee satisfaction rating of approximately 90% in 2022, which we attribute to our focus and commitment to our employees, our entrepreneurial culture and partnership orientation, and our meaningful involvement with communities surrounding our offices.</w:t>
      </w:r>
    </w:p>
    <w:p>
      <w:pPr>
        <w:spacing w:after="0" w:line="9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prioritize employee engagement through a range of cross-functional, multi-level communication and collaboration mediums through both in-person and virtual forums, including small working group lunches, company-wide town halls, management off-sites, and charitable volunteer activities. Through employee participation in our corporate philanthropic initiatives across our global offices, we are committed to giving back to the communities in which we operate, and we believe that these initiatives also support our efforts to attract and retain employees. We provide company-supported time off to encourage employees in their charitable endeavors. We also offer a formal gift-matching program to match employee donations to eligible non-profit institutions through AMG and The AMG Charitable Foundation, as well as a volunteer-matching program, wherein volunteer hours are matched with philanthropic credits that employees may donate to eligible organizations. Through our matching program as well as through direct grants, AMG and The AMG Charitable Foundation have made donations to more than 650 organizations around the world to date.</w:t>
      </w:r>
    </w:p>
    <w:p>
      <w:pPr>
        <w:spacing w:after="0" w:line="11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believe diversity and inclusion results in a highly creative and innovative workforce, and are committed to fostering and promoting an inclusive and diverse work environment. We seek to recruit the best people for the job without regard to gender, ethnicity or other protected traits, and it is our policy to comply fully with all domestic, foreign and local laws relating to discrimination in the workplace. We have achieved gender diversity of 37% across management positions in our workforce, and nearly half (47%) of our employees are women (as compared to 32% and 44%, respectively, in the prior period, inclusive of all business units). Further, three of seven (43%) independent members of our Board of Directors are women, and two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seven (29%) independent directors are ethnically diverse, in each case, above the average of S&amp;P 500 companies. In addition, two of our three Board committees are chaired by women. We continually seek to enhance the diversity of our employee base, as our employees around the world contribute their distinct perspectives to improve our business and the communities in which our businesses operate. Our executive management team has responsibility for diversity initiatives, in coordination with our Sustainability Committee, and reviews these initiatives with our Board of Directors at least annually.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14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www.amg.com</w:t>
      </w:r>
      <w:r>
        <w:rPr>
          <w:rFonts w:ascii="Arial" w:cs="Arial" w:eastAsia="Arial" w:hAnsi="Arial"/>
          <w:sz w:val="17"/>
          <w:szCs w:val="17"/>
          <w:color w:val="auto"/>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 furnishing of them to, the SEC. The information contained or incorporated on our website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and our Affiliates face a variety of risks that are substantial and inherent in our businesses. The following are some of the more important factors that could affect our and our Affiliates’ businesses. Certain statements in “Risk Factors” are forward-looking statements. See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BUSINESS AND OPERATIONS</w:t>
      </w:r>
    </w:p>
    <w:p>
      <w:pPr>
        <w:spacing w:after="0" w:line="1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financial results depend on our Affiliates’ receipt of asset- and performance-based fees, and are impacted by investment performance, as well as changes in fee levels, product mix, and the relative levels of assets under management among our Affiliates.</w:t>
      </w:r>
    </w:p>
    <w:p>
      <w:pPr>
        <w:spacing w:after="0" w:line="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financial results depend on our Affiliates’ receipt of asset- and performance-based fees, which may vary substantially from year to year. Our Affiliates’ ability to maintain current fee levels depends on a number of factors, including our Affiliates’ investment performance, as well as competition and trends in the investment management industry, such as investor demand for passively-managed products, including exchange traded funds, that typically carry lower fee rates, or preferences for other developing strategies or trends. Further, different types of assets under management can generate different ratios of asset-based fees to assets under management (“asset-based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performance-based fees include a high-watermark provision, which generally provides that if a product underperforms on an absolute basis or relative to its benchmark, it must regain such underperformance before the Affiliate will earn any performance-based fees. In addition, in the ordinary course of business, our Affiliates may reduce or waive fees on certain products for particular time periods, to attract or retain assets or for other reasons. No assurances can be given that our Affiliates will be able to maintain current fee structures or levels. A reduction in the fees that our Affiliates receive could have an adverse impact on our financial condition and results of operations.</w:t>
      </w:r>
    </w:p>
    <w:p>
      <w:pPr>
        <w:spacing w:after="0" w:line="1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Further, certain Affiliates contribute more significantly to our results than other Affiliates and, therefore, changes in fee levels, product mix, assets under management, or investment performance of such Affiliates could have a disproportionate adverse impact on our financial condition and results of operations.</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financial results could be adversely affected by any reduction in our assets under management, which could reduce the asset- and performance-based fees earned by our Affiliates.</w:t>
      </w:r>
    </w:p>
    <w:p>
      <w:pPr>
        <w:spacing w:after="0" w:line="8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Our financial results may be impacted by changes in the total level of our assets under management. The total level of our assets under management generally or with respect to particular products or Affiliates could be adversely affected by conditions outside of our control, including:</w:t>
      </w:r>
    </w:p>
    <w:p>
      <w:pPr>
        <w:spacing w:after="0" w:line="56" w:lineRule="exact"/>
        <w:rPr>
          <w:sz w:val="20"/>
          <w:szCs w:val="20"/>
          <w:color w:val="auto"/>
        </w:rPr>
      </w:pPr>
    </w:p>
    <w:p>
      <w:pPr>
        <w:ind w:left="660" w:right="44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decline in the market value of our assets under management, due to declines or heightened volatility in the capital markets, fluctuations in foreign currency exchange rates and interest rates, the current inflationary environment, changes in the yield curve, and other market factors;</w:t>
      </w:r>
    </w:p>
    <w:p>
      <w:pPr>
        <w:spacing w:after="0" w:line="56"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investor risk tolerance or investment preferences, which could result in investor allocations away from strategies and products offered by our Affiliates;</w:t>
      </w:r>
    </w:p>
    <w:p>
      <w:pPr>
        <w:spacing w:after="0" w:line="89"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Affiliates’ ability to attract and retain client assets and market products and services, which may be impacted by investment performance, client relationships, demand for product and service offerings, their continued development of products to meet the changing demands of investors, and the prices of securities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conditions, which may be exacerbated by changes in the equity or debt markets;</w:t>
      </w:r>
    </w:p>
    <w:p>
      <w:pPr>
        <w:spacing w:after="0" w:line="157"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crises, political or diplomatic developments in the U.S. or globally, including rising trade tensions between the U.S. and China, pandemics or other public health crises, such as a potential resurgence of COVID-19 or another similar highly infectious or contagious disease, trade wars, social or civil unrest, insurrection, war, including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ongoing conflict between Russia and Ukraine which has significantly impacted the global economy and financial markets, terrorism, natural disasters, or risks associated with global climate change; and</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are difficult to predict.</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reduction in our assets under management could adversely affect the fees payable to our Affiliates and, ultimately,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or our Affiliates’ reputations are harmed, we could suffer losses in our business and financial results.</w:t>
      </w:r>
    </w:p>
    <w:p>
      <w:pPr>
        <w:spacing w:after="0" w:line="14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success of 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including alleged or actual failures by us, our Affiliates or our respective employees to comply with applicable laws, rules or regulations, errors in our public reports, fund liquidity or valuation issues including with respect to illiquid assets within private markets funds of certain of our Affiliates, cyber-attack or data breach incidents, or any threatened or actual litigation against us, any of our Affiliates or our respective employees, or a perceived or actual conflict between us and any of our Affiliates or among our Affiliates. Further, stakeholder groups have increasingly expressed divergent views on a range of environmental, social, and governance (“ESG”) matters, and our or certain of our Affiliates’ related investments or business practices could be perceived negatively. Any of the foregoing events, or the public announcement and potential publicity surrounding these issues, even if inaccurate, satisfactorily addressed, or if no violation or wrongdoing actually occurred, could adversely impact our Affiliates’ reputations and their relationships with clients, our relationships with our Affiliates, and our ability to negotiate agreements with new independent investment firms, any of which could have an adverse effect on our reputation, our financial condition and results of operations, or the market price of our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management industry is highly competitive.</w:t>
      </w:r>
    </w:p>
    <w:p>
      <w:pPr>
        <w:spacing w:after="0" w:line="15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Affiliates compete with numerous investment management firms globally, including public, private and client-owned investment advisers; firms managing passively-managed products, including exchange traded funds;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offer an even broader array of products and services that our Affiliates may not in particular investment strategies. These firms may also compete by seeking to capitalize on a trend towards institutions consolidating the number of investment managers they work with. Competition from these firms may reduce the fees that our Affiliates can obtain for investment management services, or could impair our Affiliates’ ability to attract and retain client assets. We believe that our Affiliates’ ability to compete effectively with other firms depends upon the performance of our Affiliates’ investment strategies, the applicability of products to meet client objectives and preferences, and the continued development of strategies and products to meet the evolving needs and demands of investors, as well as our Affiliates’ reputations, client relationships, fee structures, client-servicing capabilities, and the marketing and distribution of their investment strategies, among other factors. See “Competition” in Item 1. Our Affiliates may not compare favorably with their competitors in any or all of these categories. From time to time, our Affiliates may also compete with each other for clients.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contracts are subject to termination on short notice.</w:t>
      </w:r>
    </w:p>
    <w:p>
      <w:pPr>
        <w:spacing w:after="0" w:line="15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Through our Affiliates, we derive almost all of our asset- and performance-based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our Affiliates’ clients terminate their investment management contracts or withdraw a substantial amount of assets, it is likely to harm our results of operations. In addition, investment management contracts with mutual funds or other similar products are subject to annual approval by the fund’s board of directors.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and existing or future resources may not be available to us in sufficient amounts or on acceptable terms.</w:t>
      </w:r>
    </w:p>
    <w:p>
      <w:pPr>
        <w:spacing w:after="0" w:line="8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While we believe that our existing cash resources and cash flow from operations will be sufficient to meet our working capital needs for normal operations for the foreseeable future, our continuing acquisitions of interests in independent investment firms and our other strategic initiatives may require additional capital. Further, we have significant purchase obligations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relating to Affiliate equity interests, and it is difficult to predict the frequency and magnitude of these purchases. As of December 31, 2022, the current redemption value relating to Affiliate equity interests was $489.9 million, of which $465.4 million was presented within Redeemable non-controlling interests (including $20.1 million of consolidated Affiliate sponsored investment products primarily attributable to third-party investors), and $24.5 million was presented as Other liabilities. See “Liquidity and Capital Resources-Affiliate Equity” in Item 7 and Notes 17 and 18 of the Consolidated Financial Statements. These obligations may require more cash than is then available from our existing cash resources and cash flows from operations. Thus, we may need to raise capital through additional borrowings or by selling shares of our common stock or other equity or debt securities, or otherwise refinance a portion of these obligations.</w:t>
      </w:r>
    </w:p>
    <w:p>
      <w:pPr>
        <w:spacing w:after="0" w:line="12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As of December 31, 2022, we had outstanding debt of $2.6 billion. Our level of indebtedness may increase if we fund future investments or other expenses through borrowings. Any additional indebtedness could increase our vulnerability to general adverse economic and industry conditions and may require us to dedicate a greater portion of our cash flows from operations to payments on our indebtedness.</w:t>
      </w:r>
    </w:p>
    <w:p>
      <w:pPr>
        <w:spacing w:after="0" w:line="84"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7"/>
          <w:szCs w:val="17"/>
          <w:color w:val="auto"/>
        </w:rPr>
        <w:t>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 spreads and our credit ratings. We are rated A3 by Moody’s Investors Service and BBB+ by S&amp;P Global Ratings. A reduction in our credit ratings could also increase our borrowing costs under our credit facilities or, in certain cases, give rise to a termination right by the counterparty under our derivative financial instruments.</w:t>
      </w:r>
    </w:p>
    <w:p>
      <w:pPr>
        <w:spacing w:after="0" w:line="10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spacing w:after="0" w:line="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debt agreements contain customary affirmative operating covenants and negative covenants that, among other things, place certain limitations on our and our subsidiaries’ ability to incur debt, merge or transfer assets, and create liens and, in the case of our credit facilities, require us to maintain specified financial ratios, including a maximum leverage ratio and a minimum interest coverage ratio. The breach of any covenant (either due to our actions or omissions or, in the case of financial covenants, due to a significant and prolonged market-driven decline in our operating results) could result in a default under the applicable debt agreement and, in the case of our credit facilities, lenders could refuse to make further extensions of credit to us. Further, in the event of certain defaults, amounts borrowed under our debt agreements, together with accrued interest and other fees, could become immediately due and payable. If any indebtedness were to become subject to accelerated repayment, we may not have sufficient liquid assets to repay such indebtedness in full.</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financial condition and results of operations.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December 31, 2022, our total assets were $8.9 billion, of which $4.5 billion were intangibles, and $2.1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declines in the value of assets under management, client attrition, product performance, reductions in fee rates, and changes in strategic objectives or growth prospects of an Affiliate.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significant judgment. In recent periods, we have recorded expenses to reduce the carrying value to fair value of certain Affiliates and certain acquired client relationships, and may experience similar impairment events in future reporting periods. See “Critical Accounting Estimates and Judgments” in Item 7 and Notes 9 and 10 of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 activities may adversely affect our liquidity and results of operations.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Cash management transactions, capital markets financings, and certain investments or other transactions may create exposure for us or our Affiliates to changes in interest rates, foreign currency exchange rates, marketable securities, and markets, which we or our Affiliates may seek to offset by entering into derivative financial instruments. See Note 7 of the Consolidated Financial Statements. The scope of these risk management activities is selective and varies based on the level and volatility of interest rates, foreign currency exchange rates, applicable marketable securities, and other changing market conditions.</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and our Affiliates do not seek to hedge exposure to all market risks, which means that exposure to certain market risks is not limited. Further, the use of derivative financial instruments does not entirely eliminate the possibility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AND OUR STRUCTURED PARTNERSHIPS WITH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strategy depends in part upon our ability to make investments in independent investment firms and to pursue other strategic partnerships.</w:t>
      </w:r>
    </w:p>
    <w:p>
      <w:pPr>
        <w:spacing w:after="0" w:line="19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continued success in investing in independent investment firms will depend upon our ability to find suitable firms in which to invest or make additional investments in our existing Affiliates, our ability to negotiate agreements with such firms on acceptable terms, maintaining our relationships with prospects and our reputation as a leading partner to these firms, and our ability to raise the capital necessary to finance such transactions. The market for acquisitions of interests in these firms is highly competitive. Many other public and private financial services companies, including commercial and investment banks, private equity firms, sovereign wealth funds, insurance companies, and investment management firms, also invest in independent investment firms and may have significantly greater resources than we do. In addition to direct competition on particular prospects, these firms can also negatively impact the volume and value of transactions more broadly. Further, our innovative partnership approach with our Affiliates is designed to enhance our Affiliates’ ability to achieve their long-term strategic objectives, while preserving their unique entrepreneurial cultures, investment independence, and operational autonomy in managing their businesses, and the management of some target firms may prefer terms and structures offered by our competitors.</w:t>
      </w:r>
    </w:p>
    <w:p>
      <w:pPr>
        <w:spacing w:after="0" w:line="11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may not be successful in making investments in new firms or maintaining existing investments, and any firms that we do invest in may not have favorable results or performance following our initial investment or any subsequent investment, which could have an adverse effect on our financial condition and results of operations. Our investments involve a number of risks, including the existence of unknown liabilities that may arise after making an investment, some of which may depend upon factors that are not under our control. Further, the consummation of our announced investments is generally subject to a number of closing conditions, contingencies and approvals, including, but not limited to, obtaining certain consents of the independent investment firm’s clients and applicable regulatory approvals. In the event that an announced transaction is not consummated, we may experience a decline in the price of our common stock.</w:t>
      </w:r>
    </w:p>
    <w:p>
      <w:pPr>
        <w:spacing w:after="0" w:line="12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growth strategy also includes pursuing strategic partnerships in areas where we can assist our Affiliates in growing and diversifying their businesses. These strategic partnerships may involve risks and require resources and investment, and there is no certainty that such partnerships will deliver the anticipated benefits over the expected time frame or at all.</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structure of our partnership interests in our Affiliates may expose us to unanticipated changes in Affiliate revenue, operating expenses, and other commitments, which we may not anticipate and may have limited ability to control.</w:t>
      </w:r>
    </w:p>
    <w:p>
      <w:pPr>
        <w:spacing w:after="0" w:line="8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w:t>
      </w:r>
    </w:p>
    <w:p>
      <w:pPr>
        <w:spacing w:after="0" w:line="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agreed-upon expenses from these structured partnership interests varies by Affiliate and includes several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w:t>
      </w:r>
    </w:p>
    <w:p>
      <w:pPr>
        <w:spacing w:after="0" w:line="1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regardless of the particular structure, we may elect to defer or forgo the receipt of our share of an Affiliate’s revenue or earnings, or to adjust any expenses allocated to us, to permit the Affiliate to fund expenses in light of unanticipated changes in revenue or operating expenses, with the aim of maximizing the long-term benefits for us and the Affiliate. These types of activities could increase during periods where an Affiliate’s revenues decline rapidly or other events occur that impact the Affiliate’s expenses or operations. We cannot be certain that any such deferral or forbearance would be of any greater long-term benefit to us, and such a deferral or forbearance may have an adverse effect on our near- or long-term financial condition and results of operations.</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reposition or divest our equity interests in our Affiliates, and we cannot be certain that any such repositioning or divestment will benefit us in the near- or long-term.</w:t>
      </w:r>
    </w:p>
    <w:p>
      <w:pPr>
        <w:spacing w:after="0" w:line="1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From time to time, we may reposition our relationships with our Affiliates, which could, among other things, include changes to our structured partnership interests, including changes in our ownership level and in the calculation of our share of revenue and/or operating expenses. Such repositioning may be done in order to address an Affiliate’s succession planning, changes in its revenue or operating expense base, our or the Affiliate’s strategic planning, or other developments. Any repositioning of our interest in an Affiliate may result in increased exposure to changes in the Affiliate’s revenue and/or operating expenses, or in additional investments or commitments from us, or could increase or reduce, or change the structure of, our interest in the Affiliate. In some cases, this could result in the full divestment of our interest to Affiliate management or to a third-party, or in our acquisition of all of the equity interests of the Affiliate. In addition, certain of our Affiliates accounted for under the equity method have customary rights in certain circumstances to restructure or sell their interests in their firm to a third-party, which could be through a direct majority or minority sale transaction, a private or public offering, or otherwise, and to cause us to participate in such restructuring or sale, which could be on terms that we view as less favorable than an alternative transaction or to retaining our interest. Any such transactions or changes, or disputes in relation to such transactions or changes which do not resolve in our favor, could have an adverse impact on our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1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depend on the efforts of our executive officers and our other officers and employees. Our executive officers, in particular, play an important role in the stability and growth of our existing Affiliates and in identifying potential investments in independent investment firms. There is no guarantee that these executive officers will remain with the Company. We generally do not have employment agreements with our executive officers, although each has a significant deferred equity interest in the Company and is subject to non-solicitation and non-competition restrictions that may be triggered upon their departure. Further, we seek to attract and retain our key officers and employees through a number of initiatives and programs, including developing a strong values-based culture, a commitment to career development, employee engagement, attractive compensation and benefits programs, attention to succession planning, and fostering of diversity and inclusion, any of which may not be successful in contributing to the retention of such employees. Changes in our management team, in particular,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spacing w:after="0" w:line="9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Affiliate personnel, there is no guarantee that these principals will remain with their firms. Since certain of our Affiliates contribute more significantly to our revenue than other Affiliates, the loss of key personnel at these Affiliates could have a disproportionately adverse impact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markets and our common stock have been volatile.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market price of our common stock has experienced and may continue to experience volatility, and the broader equity markets have experienced and may continue to experience significant price and volume fluctuations. In addition, announcements of our financial and operating results or other material information, including changes in net client cash flows and assets under management, changes in our financial guidance or our failure to meet such guidance, our new investments activity, changes in general conditions in the economy or the financial markets, perceptions regarding our ESG profile, and other developments affecting us, our Affiliates or our competitors, as well as geopolitical, social, regulatory, capital markets, economic, pandemics, and other factors unrelated to us, could cause the market price of our common stock to fluctuate substantially.</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sale or issuance of substantial amounts of our common stock, or the expectation that such sales or issuances will occur, could adversely impact the price of our common stock.</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sale or issuance of substantial amounts of our common stock in the public market could adversely impact its price. In connection with our financing activities, we have issued junior convertible trust preferred securities and entered into an equity distribution program, either of which may result in the issuance of our common stock upon the occurrence of certain events. We also have outstanding option and restricted stock awards that have been granted under our share-based incentive plans. Additionally, we have the right to settle certain Affiliate equity 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Delaware law, and other factors could delay or prevent a change in control of the Company, or adversely affect our financial results in periods prior to and following a change in control.</w:t>
      </w:r>
    </w:p>
    <w:p>
      <w:pPr>
        <w:spacing w:after="0" w:line="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These provisions include:</w:t>
      </w:r>
    </w:p>
    <w:p>
      <w:pPr>
        <w:spacing w:after="0" w:line="116" w:lineRule="exact"/>
        <w:rPr>
          <w:sz w:val="20"/>
          <w:szCs w:val="20"/>
          <w:color w:val="auto"/>
        </w:rPr>
      </w:pPr>
    </w:p>
    <w:p>
      <w:pPr>
        <w:ind w:left="660" w:right="4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to determine the terms, rights, and preferences of the preferred stock without stockholder approval;</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prohibition on the right of stockholders to call meetings or act by written consent and limitations on the right of stockholders to present proposals or make nominations at stockholder meetings;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restrictions on mergers and other business combinations between us and any holder of 15 percent or more of our outstanding common stock.</w:t>
      </w:r>
    </w:p>
    <w:p>
      <w:pPr>
        <w:spacing w:after="0" w:line="16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Further, given our long-term innovative partnership approach with our Affiliates, which is designed to maintain their unique entrepreneurial cultures, investment independence, and operational autonomy in managing their businesses, a change in control may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third-party may apply to us in a change in control. Any of the forgoing factors may inhibit a change in control in circumstances that could give our stockholders the opportunity to realize a premium over the market price of our common stock, or may result in negative impacts on our financial results in periods prior to and following a change in control.</w:t>
      </w:r>
    </w:p>
    <w:p>
      <w:pPr>
        <w:spacing w:after="0" w:line="12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a change in control of the Company or the acquisition of a large ownership position in shares of our outstanding common stock by a single holder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any required client consents (which the impacted Affiliates would need to be involved in requesting) would be obtained if such a change of control occurs. Any termination, deemed assignment or renegotiation of any of our Affiliates’ management agreements could result in a reduction in our assets under management or the fees payable to our Affiliates and, ultimately, our aggregate fees. Further, certain of our Affiliates operate regulated businesses in jurisdictions outside of the U.S. that, in some cases, require regulatory notifications and other filings if a single stockholder acquires an ownership position in the Company exceeding certain specified thresholds, regardless of whether a change in control has occurred for purposes of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Advisers Act or the Investment Company Act. Such an ownership position could also trigger approvals under FINRA, for Affiliates operating a broker-dealer in the U.S. As a result, a large ownership position in our stock, whether or not resulting in a change of control of the Company, could result in increased regulatory reporting and compliance costs, and potential restrictions on our or our Affiliates’ business activities, and could reduce the fees that our Affiliates receive under investment management contracts, any of which could have an adverse effect on the Company’s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our Affiliates’ businesses are highly regulated.</w:t>
      </w:r>
    </w:p>
    <w:p>
      <w:pPr>
        <w:spacing w:after="0" w:line="15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and our Affiliates’ businesses are subject to complex and extensive regulation by regulatory and self-regulatory authorities and exchanges in various jurisdictions around the world, which, for our Affiliates and our U.S. wealth distribution subsidiary, include those applicable to investment advisers, as detailed in “Government Regulation” in Item 1. Applicable laws, rules and regulations impose requirements, restrictions, and limitations on our and our Affiliates’ businesses, and can result in significant compliance costs.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and may result in monetary losses that are not covered by insurance in adequate amounts or at all, any of which could have an adverse impact on our stock price, financial condition, and results of operations. Further, if we, any of our Affiliates or our respective employees were to fail to comply with applicable laws, rules, or regulations, or be named as a subject of an investigation or other regulatory action, the public announcement and potential publicity surrounding any such investigation or action could have an adverse effect on our or our Affiliates’ reputations and on our stock price and result in increased costs, even if we, our Affiliates, or our respective employees were found not to have violated such laws, rules or regulations.</w:t>
      </w:r>
    </w:p>
    <w:p>
      <w:pPr>
        <w:spacing w:after="0" w:line="10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Recently implemented and proposed regulations globally have called for more stringent oversight of the financial services industry in which we and our Affiliates operate. In the U.S., the current presidential administration has shifted enforcement priorities under existing regulations, and has been pursuing additional rulemaking, impacting public companies and the financial services industry, including private and public funds, in areas relating to ESG matters and disclosures, data security risk management and disclosures, share buybacks, and additional asset management disclosure and compliance requirements. For example, the SEC has proposed new rules for private fund advisers that if enacted, would prohibit seeking reimbursement, indemnification, exculpation, or limitation of liability for breach of fiduciary duty, willful malfeasance, bad faith, negligence, or recklessness in providing services to the fund. These regulatory developments could adversely affect our and our Affiliates’ businesses, increase compliance costs, require that we or our Affiliates change or curtail operations or investment offerings, or impact our and our Affiliates’ access to capital and the market for our common stock.</w:t>
      </w:r>
    </w:p>
    <w:p>
      <w:pPr>
        <w:spacing w:after="0" w:line="9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Further, in recent years, regulators in the U.S., the UK, and other jurisdictions have expanded rules and devoted greater resources and attention to the enforcement of anti-bribery and anti-money laundering laws, and while we and our Affiliates have developed and implemented policies and procedures designed to comply with these rules, such policies and procedures may not be effective in all instances to prevent violations.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and our Affiliates’ international operations are subject to foreign risks, including political, regulatory, economic, and currency risks.</w:t>
      </w:r>
    </w:p>
    <w:p>
      <w:pPr>
        <w:spacing w:after="0" w:line="15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and certain of our Affiliates conduct business outside the U.S., and a number of our Affiliates are based outside the U.S. and, accordingly, are subject to risks inherent in doing business internationally. These risks may include difficulties in staffing and managing foreign operations, longer payment cycles, difficulties in collecting investment advisory fees receivable, different (and in some cases less stringent) legal, regulatory and accounting regimes, political instability, exposure to fluctuations in currency exchange rates, expatriation controls, expropriation risks, and potential adverse tax consequences. For example, our and our Affiliates’ businesses may be impacted by the terms of trade agreements negotiated by the UK in connection with its exit from the European Union (the “EU”), which could result in fluctuations in exchange rates, disruptions in the capital markets, changes in investor risk tolerance or investment preferences, potential regulatory shifts resulting from the UK’s status as a third-country with the EU, increased compliance and administrative costs, or other impacts. Further, regulations in the EU pertaining to integrating ESG topics may materially impact the investment management industry in member states that adopt such legislation. For example, the EU’s Sustainable Finance Disclosure Regulation (“SFDR”)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requires MiFID firms and AIFMs to take ESG factors into account in their organizational, risk and governance arrangements and are designed to, among other things, establish EU labels for green financial products, clarify managers’ duties regarding sustainability in their investment decisions, and increase disclosure requirements relating to ESG matters including those relating to “greenwashing” (i.e., the holding out of a product as having green or sustainable characteristics where this is not, in fact, the case). </w:t>
      </w:r>
      <w:r>
        <w:rPr>
          <w:rFonts w:ascii="Arial" w:cs="Arial" w:eastAsia="Arial" w:hAnsi="Arial"/>
          <w:sz w:val="17"/>
          <w:szCs w:val="17"/>
          <w:color w:val="0D0D0D"/>
        </w:rPr>
        <w:t>Similar regulatory measures may be introduced in other jurisdictions in which we or our Affiliates</w:t>
      </w:r>
      <w:r>
        <w:rPr>
          <w:rFonts w:ascii="Arial" w:cs="Arial" w:eastAsia="Arial" w:hAnsi="Arial"/>
          <w:sz w:val="17"/>
          <w:szCs w:val="17"/>
          <w:color w:val="auto"/>
        </w:rPr>
        <w:t xml:space="preserve"> </w:t>
      </w:r>
      <w:r>
        <w:rPr>
          <w:rFonts w:ascii="Arial" w:cs="Arial" w:eastAsia="Arial" w:hAnsi="Arial"/>
          <w:sz w:val="17"/>
          <w:szCs w:val="17"/>
          <w:color w:val="0D0D0D"/>
        </w:rPr>
        <w:t xml:space="preserve">currently have investments or plan to invest in the future, including in the U.S. and the UK. These types of ESG-related regulations could impact our or our Affiliates’ businesses, increases regulatory and compliance costs, and adversely affect our profitability. </w:t>
      </w:r>
      <w:r>
        <w:rPr>
          <w:rFonts w:ascii="Arial" w:cs="Arial" w:eastAsia="Arial" w:hAnsi="Arial"/>
          <w:sz w:val="17"/>
          <w:szCs w:val="17"/>
          <w:color w:val="000000"/>
        </w:rPr>
        <w:t>In addition, as a result of operating internationally,</w:t>
      </w:r>
      <w:r>
        <w:rPr>
          <w:rFonts w:ascii="Arial" w:cs="Arial" w:eastAsia="Arial" w:hAnsi="Arial"/>
          <w:sz w:val="17"/>
          <w:szCs w:val="17"/>
          <w:color w:val="0D0D0D"/>
        </w:rPr>
        <w:t xml:space="preserve"> </w:t>
      </w:r>
      <w:r>
        <w:rPr>
          <w:rFonts w:ascii="Arial" w:cs="Arial" w:eastAsia="Arial" w:hAnsi="Arial"/>
          <w:sz w:val="17"/>
          <w:szCs w:val="17"/>
          <w:color w:val="000000"/>
        </w:rPr>
        <w:t>certain of our Affiliates and our global distribution subsidiaries are subject to requirements under foreign regulations to maintain minimum levels of capital. Such capital requirements may be increased from time to time, which may have the effect of limiting withdrawals of capital and the payment of distributions to us or, if there were a significant change in the required capital or an extraordinary loss or charge against net capital at a particular Affiliate, could adversely impact such Affiliate’s ability to expand or maintain operations. These or other risks related to our and our Affiliates’ international operations may have an adverse effect on our business, financial condition, and results of operations.</w:t>
      </w:r>
    </w:p>
    <w:p>
      <w:pPr>
        <w:spacing w:after="0" w:line="10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tax liabilities could have an adverse impact on our business, financial condition, and results of operations.</w:t>
      </w:r>
    </w:p>
    <w:p>
      <w:pPr>
        <w:spacing w:after="0" w:line="10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subject to income taxes as well as non-income 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with differing statutory tax rates, changes to our or their existing businesses, and changes in relevant tax, accounting or other laws, regulations, administrative practices, and interpretations. In the U.S., the Inflation Reduction Act of 2022, which was signed into law in August 2022, contained a number of changes to federal tax laws including a new corporate minimum tax as well as a new excise tax on stock repurchases, neither of which we expect to have a significant impact on our net income and cash flows, but which could impact future decisions on how to return value to stockholders in the most efficient manner. If further tax reform proposals are introduced in the U.S., they could materially impact our tax provision, deferred tax assets, tax liabilities and effective tax rate. Further, a portion of our earnings is from outside of the U.S., and the foreign government agencies in jurisdictions in which we and our Affiliates do business continue to focus on the taxation of multinational companies, and could implement changes to their tax laws. Any changes to federal, state or foreign tax laws, regulations, accounting standards or administrative practices, or the release of additional guidance, interpretations or other information,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 additional taxes and/or penalties and interest. In the U.S., the Inflation Reduction Act included significant budget increases for tax audit and enforcement, and similar trends have developed in foreign jurisdictions. There can be no assurance that we will accurately predict the outcomes of any examinations and the actual outcomes could have an adverse impact on our financial condition and results of operations.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or our Affiliates may be involved in legal proceedings and regulatory matters from time to time, and we may be held responsible for liabilities incurred by certain of our Affiliates.</w:t>
      </w:r>
    </w:p>
    <w:p>
      <w:pPr>
        <w:spacing w:after="0" w:line="10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operating agreements with our Affiliates provide for governance structures that give Affiliate management the authority to manage and operate their businesses on a day-to-day basis, including investment management operations, marketing, product development, client relationships, employee matters, compensation programs, and compliance activities. As a consequence, our financial condition and results of operations may be adversely affected by problems stemming from the day-to-day operations of our Affiliates that we are not involved in, and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spacing w:after="0" w:line="1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Certain of our Affiliates are limited liability companies or limited partnerships (or equivalent non-U.S. forms) of which we, or entities controlled by us, are the managing member or general partner (or equivalent). Consequently, to the extent that any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wealth distribution subsidiary and our global distribution subsidiaries, to extend the reach of our Affiliates’ own business development efforts, and any liability arising in connection with these activities, whether as a result of our own actions or the actions of our participating Affiliates,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See “Legal Proceedings” in Item 3.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Any legal proceedings or regulatory matters that we or our Affiliates are subject to could, whether with or without merit, be time consuming and expensive to defend and could divert management attention and resources, and could result in judgments, findings, settlements, or allegations of wrongdoing that could adversely affect our or their reputation, current and future business relationships, and our financial condition and results of operations.</w:t>
      </w:r>
    </w:p>
    <w:p>
      <w:pPr>
        <w:spacing w:after="0" w:line="1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or our Affiliates’ controls and procedures and risk management policies may be inadequate, fail or be circumvented, and operational risk could adversely affect our or our Affiliates’ reputation and financial position.</w:t>
      </w:r>
    </w:p>
    <w:p>
      <w:pPr>
        <w:spacing w:after="0" w:line="10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third-party service providers, such third parties are subject to similar risks. We and our Affiliates, as well as our respective service providers, are also subject to the risk that employees or contractors, or other third parties, may deliberately seek to circumvent established controls to commit fraud or act in ways that are inconsistent with our or their controls, policies, and procedures, and which may be harder to monitor in remote work environments. The financial and reputational impact of control failures can be significant.</w:t>
      </w:r>
    </w:p>
    <w:p>
      <w:pPr>
        <w:spacing w:after="0" w:line="9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1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10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providers of technology infrastructure, and other service providers such as broker-dealers, custodians, administrators and other agents, as well as accounting, legal, and other professional advisors, and these parties are susceptible to similar risks.</w:t>
      </w:r>
    </w:p>
    <w:p>
      <w:pPr>
        <w:spacing w:after="0" w:line="11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Although we and our Affiliates take protective measures and endeavor to modify them as circumstances warrant, computer systems, software, internal and cloud-based networks, and mobile devices may be vulnerable to cyber-attacks, data privacy or security breaches, phishing schemes and related fraud attempts, ransomware, social engineering, unauthorized access, theft, misuse, computer viruses, or other malicious code and other events that could have a security impact. Further, although we and our Affiliates have systems and practices in place to monitor the third parties on whom we and our Affiliates rely, such third parties, including those providing cloud-based network services, may have similar vulnerabilities and may lack the necessary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Further, human errors may occur from time to time at our third-party service providers’ staff or among our or our Affiliates’ employees, which can lead to or exacerbate security vulnerabilities or attacks. The increasing frequency and sophistication of these cyber threats, including in foreign jurisdictions in which we and our Affiliates operate, along with the continued reliance on work-from-home environments, personal mobile and computing technologies, and third-party web conferencing services, have increased exposures to these security-related risks.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may be subject to litigation, regulatory investigations, and potential fines, and financial losses that are either not insured against fully or not fully covered through any insurance that we or our Affiliates maintain. Additionally, given our business model of providing our Affiliates with operational autonomy in managing their businesses, we do not control, and may have limited involvement in, the design, oversight, and maintenance of their technology systems and networks, as well as in the identification of or response to any cyber-attacks, data breaches, or other incidents.</w:t>
      </w:r>
    </w:p>
    <w:p>
      <w:pPr>
        <w:spacing w:after="0" w:line="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Further, government and regulatory oversight of data privacy in particular has been growing in recent years, including through the EU’s General Data Protection Regulation and the California Consumer Privacy Act, resulting in heightened data security and handling requirements, increased fines, and expanded incident response and reporting obligations. More recently, the SEC proposed new rules related to cybersecurity risk management for public companies and registered investment advisers, which may result in increased disclosure obligations and liabilities related to our and our Affiliates’ technology systems and networks. Recent well-publicized security breaches at other companies have exemplified security-related vulnerabilities, and may lead to further government and regulatory scrutiny and heightened security requirements both in the U.S. and in other jurisdictions in which we and our Affiliates operate.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operations around the world using a combination of leased and owned facilities. While we believe we have suitable property resources currently, we will continue to evaluate our property needs and will adjust these resources as necessary. Our Affiliates also typically lease office space in the city or cities in which they conduct business, as appropriate for their respective business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520" w:firstLine="324"/>
        <w:spacing w:after="0" w:line="311" w:lineRule="auto"/>
        <w:rPr>
          <w:sz w:val="20"/>
          <w:szCs w:val="20"/>
          <w:color w:val="auto"/>
        </w:rPr>
      </w:pPr>
      <w:r>
        <w:rPr>
          <w:rFonts w:ascii="Arial" w:cs="Arial" w:eastAsia="Arial" w:hAnsi="Arial"/>
          <w:sz w:val="16"/>
          <w:szCs w:val="16"/>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spacing w:after="0" w:line="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is traded on the New York Stock Exchange (symbol: AMG). As of February 15, 2023, there were 94 stockholders of record</w:t>
      </w:r>
      <w:r>
        <w:rPr>
          <w:rFonts w:ascii="Arial" w:cs="Arial" w:eastAsia="Arial" w:hAnsi="Arial"/>
          <w:sz w:val="18"/>
          <w:szCs w:val="18"/>
          <w:color w:val="auto"/>
        </w:rPr>
        <w:t>,</w:t>
      </w:r>
    </w:p>
    <w:p>
      <w:pPr>
        <w:spacing w:after="0" w:line="4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including banks, brokers, and other financial institutions holding shares in omnibus accounts for their customers (in total representing substantially all of the beneficial holders of our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3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Average Price Paid</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2"/>
                <w:szCs w:val="12"/>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Average 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4"/>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Under Outstanding Plans or</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8"/>
                <w:szCs w:val="18"/>
                <w:b w:val="1"/>
                <w:bCs w:val="1"/>
                <w:color w:val="auto"/>
                <w:w w:val="89"/>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9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9"/>
              </w:rPr>
              <w:t>Programs</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1-31,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5,767,345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November 1-30, 2022</w:t>
            </w:r>
          </w:p>
        </w:tc>
        <w:tc>
          <w:tcPr>
            <w:tcW w:w="1300" w:type="dxa"/>
            <w:vAlign w:val="bottom"/>
          </w:tcPr>
          <w:p>
            <w:pPr>
              <w:jc w:val="right"/>
              <w:spacing w:after="0"/>
              <w:rPr>
                <w:sz w:val="20"/>
                <w:szCs w:val="20"/>
                <w:color w:val="auto"/>
              </w:rPr>
            </w:pPr>
            <w:r>
              <w:rPr>
                <w:rFonts w:ascii="Arial" w:cs="Arial" w:eastAsia="Arial" w:hAnsi="Arial"/>
                <w:sz w:val="18"/>
                <w:szCs w:val="18"/>
                <w:color w:val="auto"/>
              </w:rPr>
              <w:t>298,450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282,436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5,484,909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December 1-31, 2022</w:t>
            </w:r>
            <w:r>
              <w:rPr>
                <w:rFonts w:ascii="Arial" w:cs="Arial" w:eastAsia="Arial" w:hAnsi="Arial"/>
                <w:sz w:val="23"/>
                <w:szCs w:val="23"/>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3,906,396</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155.57</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160" w:hanging="332"/>
        <w:spacing w:after="0" w:line="277" w:lineRule="auto"/>
        <w:tabs>
          <w:tab w:leader="none" w:pos="327"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shares surrendered to the Company to satisfy tax withholding and/or option exercise price obligations in connection with stock swap and net settlement option exercise transactions, if any.</w:t>
      </w:r>
    </w:p>
    <w:p>
      <w:pPr>
        <w:spacing w:after="0" w:line="102" w:lineRule="exact"/>
        <w:rPr>
          <w:rFonts w:ascii="Arial" w:cs="Arial" w:eastAsia="Arial" w:hAnsi="Arial"/>
          <w:sz w:val="9"/>
          <w:szCs w:val="9"/>
          <w:color w:val="auto"/>
        </w:rPr>
      </w:pPr>
    </w:p>
    <w:p>
      <w:pPr>
        <w:ind w:left="300" w:hanging="292"/>
        <w:spacing w:after="0"/>
        <w:tabs>
          <w:tab w:leader="none" w:pos="300" w:val="left"/>
        </w:tabs>
        <w:numPr>
          <w:ilvl w:val="0"/>
          <w:numId w:val="6"/>
        </w:numPr>
        <w:rPr>
          <w:rFonts w:ascii="Arial" w:cs="Arial" w:eastAsia="Arial" w:hAnsi="Arial"/>
          <w:sz w:val="9"/>
          <w:szCs w:val="9"/>
          <w:color w:val="auto"/>
        </w:rPr>
      </w:pPr>
      <w:r>
        <w:rPr>
          <w:rFonts w:ascii="Arial" w:cs="Arial" w:eastAsia="Arial" w:hAnsi="Arial"/>
          <w:sz w:val="17"/>
          <w:szCs w:val="17"/>
          <w:color w:val="auto"/>
        </w:rPr>
        <w:t>Our Board of Directors authorized share repurchase programs in October 2022, January 2022, and January 2021 to repurchase up to 3.0 million,</w:t>
      </w:r>
    </w:p>
    <w:p>
      <w:pPr>
        <w:spacing w:after="0" w:line="35" w:lineRule="exact"/>
        <w:rPr>
          <w:sz w:val="20"/>
          <w:szCs w:val="20"/>
          <w:color w:val="auto"/>
        </w:rPr>
      </w:pPr>
    </w:p>
    <w:p>
      <w:pPr>
        <w:ind w:left="340" w:right="220"/>
        <w:spacing w:after="0" w:line="273" w:lineRule="auto"/>
        <w:rPr>
          <w:sz w:val="20"/>
          <w:szCs w:val="20"/>
          <w:color w:val="auto"/>
        </w:rPr>
      </w:pPr>
      <w:r>
        <w:rPr>
          <w:rFonts w:ascii="Arial" w:cs="Arial" w:eastAsia="Arial" w:hAnsi="Arial"/>
          <w:sz w:val="17"/>
          <w:szCs w:val="17"/>
          <w:color w:val="auto"/>
        </w:rPr>
        <w:t>2.0 million, and 5.0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December 31, 2022, we had repurchased all of the shares of the January 2021 program.</w:t>
      </w:r>
    </w:p>
    <w:p>
      <w:pPr>
        <w:spacing w:after="0" w:line="109" w:lineRule="exact"/>
        <w:rPr>
          <w:sz w:val="20"/>
          <w:szCs w:val="20"/>
          <w:color w:val="auto"/>
        </w:rPr>
      </w:pPr>
    </w:p>
    <w:p>
      <w:pPr>
        <w:ind w:left="340" w:right="260" w:hanging="332"/>
        <w:spacing w:after="0" w:line="296" w:lineRule="auto"/>
        <w:tabs>
          <w:tab w:leader="none" w:pos="305" w:val="left"/>
        </w:tabs>
        <w:numPr>
          <w:ilvl w:val="0"/>
          <w:numId w:val="7"/>
        </w:numPr>
        <w:rPr>
          <w:rFonts w:ascii="Arial" w:cs="Arial" w:eastAsia="Arial" w:hAnsi="Arial"/>
          <w:sz w:val="8"/>
          <w:szCs w:val="8"/>
          <w:color w:val="auto"/>
        </w:rPr>
      </w:pPr>
      <w:r>
        <w:rPr>
          <w:rFonts w:ascii="Arial" w:cs="Arial" w:eastAsia="Arial" w:hAnsi="Arial"/>
          <w:sz w:val="16"/>
          <w:szCs w:val="16"/>
          <w:color w:val="auto"/>
        </w:rPr>
        <w:t>In December 2022, we entered into an accelerated share repurchase agreement to repurchase shares of our common stock in exchange for an upfront payment of $225.0 million. We received an initial share delivery of 1.1 million shares in December 2022, which represents 80% of the upfront payment based on the closing price of our common stock on the agreement date. The total number of shares to be repurchased will be based on volume-weighted average prices of our common stock during the term of the agreement less a discount and subject to adjustments pursuant to the terms and conditions of such agreement. The final settlement of this transaction is expected to be completed in the second or third quarter of 2023.</w:t>
      </w:r>
    </w:p>
    <w:p>
      <w:pPr>
        <w:spacing w:after="0" w:line="8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years ended December 31, 2020, 2021, and 2022, we repurchased 5.0 million, 3.5 million, and 4.5 million shares of our common stock at an average price per share of $86.35, $146.54, and $144.45,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peer group comprises AllianceBernstein Holding L.P., Ares Management Corporation, Artisan Partners Asset Management Inc., The Carlyle Group Inc., Federated Hermes, Inc., Franklin Resources, Inc., Invesco Ltd., Janus Henderson Group plc, Lazard Ltd., Victory Capital Holdings, Inc. and Virtus Investment Partners, Inc. Prior to this year, our peer group also included Ameriprise Financial, Inc. Our peer group was revised in 2022 to reflect companies with size and market capitalizations that are more in line with our own. The following graph compares the cumulative stockholder return on our common stock from December 31, 2017 through December 31, 2022, with the cumulative total return, during the same period, on the Standard &amp; Poor’s MidCap 400 Index, our prior peer group, and our current peer group. The comparison below assumes the investment of $100 on December 31, 2017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78740</wp:posOffset>
            </wp:positionV>
            <wp:extent cx="5434965" cy="4397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496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The following executive overview, which summarizes the significant trends affecting our results of operations and financial condition, as well as the remainder of this Management’s Discussion and Analysis of Financial Condition and Results of Operations of Affiliated Managers Group, Inc. and its subsidiaries, should be read in conjunction with the “Forward-Looking Statements” section set forth in Part I, the “Risk Factors” section set forth in Item 1A of Part I and with our Consolidated Financial Statements and the notes thereto contained elsewhere in this Annual Report on Form 10-K, and in any more recent filings with the SEC.</w:t>
      </w:r>
    </w:p>
    <w:p>
      <w:pPr>
        <w:spacing w:after="0" w:line="12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Our discussion and analysis of the key operating performance measures and financial results for fiscal year 2022 compared to fiscal year 2021 is included herein. For discussion and analysis of fiscal year 2021 compared to fiscal year 2020, please refer to “Management’s Discussion and Analysis of Financial Condition and Results of Operations” in Item 7 of Part II in our Annual Report on Form 10-K for the fiscal year ended December 31, 2021, which was filed with the SEC on February 18,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4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AMG is a leading partner to independent investment management firms globally. Our strategy is to generate long-term value by investing in a diverse array of high-quality independent partner-owned firms, referred to as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distribution, and other strategic value-added capabilities, which enhance the long-term growth of these independent businesses, and enable them to align equity incentives across generations of principals to build enduring franchises. As of December 31, 2022, our aggregate assets under management were approximately $651 billion across a broad range of differentiated investment strategies.</w:t>
      </w:r>
    </w:p>
    <w:p>
      <w:pPr>
        <w:spacing w:after="0" w:line="110"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In the first quarter of 2022, we completed an additional investment in Systematica Investments (“Systematica”), an innovative technology-driven systematic manager. Following the close of the transaction, our investment continues to be accounted for under the equity method of accounting and Systematica partners continue to hold a majority of the equity of the business and direct its day-to-day operations.</w:t>
      </w:r>
    </w:p>
    <w:p>
      <w:pPr>
        <w:spacing w:after="0" w:line="98"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In the fourth quarter of 2022, we completed a minority investment in Peppertree Capital Management, Inc. (“Peppertree”), a private markets firm specializing in communications infrastructure. The financial results will be recognized in the Consolidated Financial Statements one quarter in arrears. We account for this investment under the equity method of accounting. Following the close of the transaction, Peppertree management continues to hold a significant portion of the equity in the business and directs the day-to-day operations.</w:t>
      </w:r>
    </w:p>
    <w:p>
      <w:pPr>
        <w:spacing w:after="0" w:line="9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fourth quarter of 2022, we completed the previously announced sale of our equity interest in Baring Private Equity Asia (“BPEA”), our Affiliate, to EQT AB (“EQT”), a public company listed on Nasdaq Stockholm (EQT.ST), (the “BPEA Transaction”) in connection with the strategic combination of BPEA and EQT. Pursuant to the terms of the Securities Purchase and Merger Agreement with EQT under which we and each of the other owners agreed to sell our respective equity interests in BPEA, we received $223.6 million in cash, net of transaction costs, and 28.68 million EQT ordinary shares (25% of which are subject to a six-month lock-up, which expires in April 2023), and other investments. Our gain on the transaction was $641.9 million. The transaction was taxable at closing. For the year ended December 31, 2022, we recorded realized and unrealized gains on EQT ordinary shares of $43.8 million and $57.9 million, respectively. During the fourth quarter of 2022 and through February 15, 2023, we have sold 17.4 million EQT ordinary shares.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Measures</w:t>
      </w:r>
    </w:p>
    <w:p>
      <w:pPr>
        <w:spacing w:after="0" w:line="16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investment managers and are impacted by similar marketplace factors and industry trends. Therefore, our key aggregate operating performance measures are important in providing management with a more comprehensive view of the operating performance and material trends across our entire business.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aggregate operating performance measures: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7"/>
          </w:tcPr>
          <w:p>
            <w:pPr>
              <w:ind w:left="120"/>
              <w:spacing w:after="0"/>
              <w:rPr>
                <w:sz w:val="20"/>
                <w:szCs w:val="20"/>
                <w:color w:val="auto"/>
              </w:rPr>
            </w:pPr>
            <w:r>
              <w:rPr>
                <w:rFonts w:ascii="Arial" w:cs="Arial" w:eastAsia="Arial" w:hAnsi="Arial"/>
                <w:sz w:val="14"/>
                <w:szCs w:val="14"/>
                <w:b w:val="1"/>
                <w:bCs w:val="1"/>
                <w:color w:val="auto"/>
              </w:rPr>
              <w:t>As of and 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billions, except as noted)</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fees (in millions)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Assets under management, and therefore average assets under management, include the assets under management of our consolidated and equity method Affiliates.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 Average assets under management for mutual funds and similar investment products generally represents an average of the daily net assets under management, while for institutional and high net worth clients, average assets under management generally represents an average of the assets at the beginning or end of each month during the applicable period.</w:t>
      </w:r>
    </w:p>
    <w:p>
      <w:pPr>
        <w:spacing w:after="0" w:line="9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Aggregate fees consist of the total asset- and performance-based fees earned by all of our consolidated and equity method Affiliates. For certain of our Affiliates accounted for under the equity method, we report aggregate fees and the Affiliate’s financial results in our Consolidated Financial Statements one quarter in arrears. Aggregate fees are provided in addition to, but not as a substitute for, Consolidated revenue or other GAAP performance measures.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Affiliates provide a diverse range of differentiated return streams through their specialized investment processes. We continue to see demand for alternative strategies, as evidenced by our net inflows in this category for the year ended December 31, 2022. At the same time, we experienced outflows in equity strategies, particularly in global equities, in line with de-risking trends across the industry. We continue to invest in areas of long-term client demand</w:t>
      </w:r>
    </w:p>
    <w:p>
      <w:pPr>
        <w:spacing w:after="0" w:line="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 including private markets, liquid alternatives, sustainable strategies, wealth management, and Asia — through new and existing Affiliates, to better position AMG to benefit from industry growth trends. We also anticipate that independent investment firms will continue to seek access to an evolving range of partnership solutions, and that we have a significant opportunity to invest in additional high-quality firms across the global investment management industry.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charts present information regarding the composition of our assets under management by strategy as of December 31, 2021 and 2022:</w:t>
      </w: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5477510" cy="1748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7751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40" w:right="680" w:hanging="332"/>
        <w:spacing w:after="0" w:line="434" w:lineRule="auto"/>
        <w:tabs>
          <w:tab w:leader="none" w:pos="327" w:val="left"/>
        </w:tabs>
        <w:numPr>
          <w:ilvl w:val="0"/>
          <w:numId w:val="9"/>
        </w:numPr>
        <w:rPr>
          <w:rFonts w:ascii="Arial" w:cs="Arial" w:eastAsia="Arial" w:hAnsi="Arial"/>
          <w:sz w:val="9"/>
          <w:szCs w:val="9"/>
          <w:color w:val="auto"/>
        </w:rPr>
      </w:pPr>
      <w:r>
        <w:rPr>
          <w:rFonts w:ascii="Arial" w:cs="Arial" w:eastAsia="Arial" w:hAnsi="Arial"/>
          <w:sz w:val="18"/>
          <w:szCs w:val="18"/>
          <w:color w:val="auto"/>
        </w:rPr>
        <w:t>Alternatives include private markets strategies, which accounted for 15% of our assets under management as of December 31, 2021 and 2022. The following table presents changes in our assets under management by strategy: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billions)</w:t>
            </w:r>
          </w:p>
        </w:tc>
        <w:tc>
          <w:tcPr>
            <w:tcW w:w="18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Alternatives</w:t>
            </w:r>
          </w:p>
        </w:tc>
        <w:tc>
          <w:tcPr>
            <w:tcW w:w="12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Global Equities</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Equities</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Multi-Asset &amp;</w:t>
            </w:r>
          </w:p>
        </w:tc>
        <w:tc>
          <w:tcPr>
            <w:tcW w:w="280" w:type="dxa"/>
            <w:vAlign w:val="bottom"/>
          </w:tcPr>
          <w:p>
            <w:pPr>
              <w:spacing w:after="0"/>
              <w:rPr>
                <w:sz w:val="14"/>
                <w:szCs w:val="14"/>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Income</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29"/>
        </w:trPr>
        <w:tc>
          <w:tcPr>
            <w:tcW w:w="486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860" w:type="dxa"/>
            <w:vAlign w:val="bottom"/>
          </w:tcPr>
          <w:p>
            <w:pPr>
              <w:ind w:left="160"/>
              <w:spacing w:after="0"/>
              <w:rPr>
                <w:sz w:val="20"/>
                <w:szCs w:val="20"/>
                <w:color w:val="auto"/>
              </w:rPr>
            </w:pPr>
            <w:r>
              <w:rPr>
                <w:rFonts w:ascii="Arial" w:cs="Arial" w:eastAsia="Arial" w:hAnsi="Arial"/>
                <w:sz w:val="18"/>
                <w:szCs w:val="18"/>
                <w:color w:val="auto"/>
              </w:rPr>
              <w:t>BPEA</w:t>
            </w:r>
            <w:r>
              <w:rPr>
                <w:rFonts w:ascii="Arial" w:cs="Arial" w:eastAsia="Arial" w:hAnsi="Arial"/>
                <w:sz w:val="9"/>
                <w:szCs w:val="9"/>
                <w:color w:val="auto"/>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 changes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4860" w:type="dxa"/>
            <w:vAlign w:val="bottom"/>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Realizations and distributions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9"/>
          <w:szCs w:val="9"/>
          <w:color w:val="auto"/>
        </w:rPr>
      </w:pPr>
      <w:r>
        <w:rPr>
          <w:rFonts w:ascii="Arial" w:cs="Arial" w:eastAsia="Arial" w:hAnsi="Arial"/>
          <w:sz w:val="18"/>
          <w:szCs w:val="18"/>
          <w:color w:val="auto"/>
        </w:rPr>
        <w:t>Assets under management attributable to BPEA as of the BPEA Transaction closing date.</w:t>
      </w:r>
    </w:p>
    <w:p>
      <w:pPr>
        <w:spacing w:after="0" w:line="144" w:lineRule="exact"/>
        <w:rPr>
          <w:rFonts w:ascii="Arial" w:cs="Arial" w:eastAsia="Arial" w:hAnsi="Arial"/>
          <w:sz w:val="9"/>
          <w:szCs w:val="9"/>
          <w:color w:val="auto"/>
        </w:rPr>
      </w:pPr>
    </w:p>
    <w:p>
      <w:pPr>
        <w:ind w:left="340" w:right="40" w:hanging="332"/>
        <w:spacing w:after="0" w:line="277" w:lineRule="auto"/>
        <w:tabs>
          <w:tab w:leader="none" w:pos="327" w:val="left"/>
        </w:tabs>
        <w:numPr>
          <w:ilvl w:val="0"/>
          <w:numId w:val="10"/>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02" w:lineRule="exact"/>
        <w:rPr>
          <w:rFonts w:ascii="Arial" w:cs="Arial" w:eastAsia="Arial" w:hAnsi="Arial"/>
          <w:sz w:val="9"/>
          <w:szCs w:val="9"/>
          <w:color w:val="auto"/>
        </w:rPr>
      </w:pPr>
    </w:p>
    <w:p>
      <w:pPr>
        <w:ind w:left="320" w:hanging="312"/>
        <w:spacing w:after="0"/>
        <w:tabs>
          <w:tab w:leader="none" w:pos="320" w:val="left"/>
        </w:tabs>
        <w:numPr>
          <w:ilvl w:val="0"/>
          <w:numId w:val="10"/>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charts present information regarding the composition of our assets under management by client type as of December 31, 2021 and 2022:</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Client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40640</wp:posOffset>
            </wp:positionV>
            <wp:extent cx="5314950" cy="1697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client type: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Institutional</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High Net Worth</w:t>
            </w: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6"/>
        </w:trPr>
        <w:tc>
          <w:tcPr>
            <w:tcW w:w="6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23"/>
        </w:trPr>
        <w:tc>
          <w:tcPr>
            <w:tcW w:w="6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2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BPEA</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 changes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8"/>
          <w:szCs w:val="18"/>
          <w:color w:val="auto"/>
        </w:rPr>
        <w:t>Assets under management attributable to BPEA as of the BPEA Transaction closing date.</w:t>
      </w:r>
    </w:p>
    <w:p>
      <w:pPr>
        <w:spacing w:after="0" w:line="157" w:lineRule="exact"/>
        <w:rPr>
          <w:rFonts w:ascii="Arial" w:cs="Arial" w:eastAsia="Arial" w:hAnsi="Arial"/>
          <w:sz w:val="9"/>
          <w:szCs w:val="9"/>
          <w:color w:val="auto"/>
        </w:rPr>
      </w:pPr>
    </w:p>
    <w:p>
      <w:pPr>
        <w:ind w:left="340" w:right="40" w:hanging="332"/>
        <w:spacing w:after="0" w:line="277" w:lineRule="auto"/>
        <w:tabs>
          <w:tab w:leader="none" w:pos="327" w:val="left"/>
        </w:tabs>
        <w:numPr>
          <w:ilvl w:val="0"/>
          <w:numId w:val="11"/>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performance of our investment strategies, where available, measured by the percentage of assets under management ahead of their relevant benchmark:</w:t>
      </w:r>
    </w:p>
    <w:p>
      <w:pPr>
        <w:spacing w:after="0" w:line="132" w:lineRule="exact"/>
        <w:rPr>
          <w:sz w:val="20"/>
          <w:szCs w:val="20"/>
          <w:color w:val="auto"/>
        </w:rPr>
      </w:pPr>
    </w:p>
    <w:tbl>
      <w:tblPr>
        <w:tblLayout w:type="fixed"/>
        <w:tblInd w:w="5220" w:type="dxa"/>
        <w:tblCellMar>
          <w:top w:w="0" w:type="dxa"/>
          <w:left w:w="0" w:type="dxa"/>
          <w:bottom w:w="0" w:type="dxa"/>
          <w:right w:w="0" w:type="dxa"/>
        </w:tblCellMar>
      </w:tblPr>
      <w:tr>
        <w:trPr>
          <w:trHeight w:val="215"/>
        </w:trPr>
        <w:tc>
          <w:tcPr>
            <w:tcW w:w="2580" w:type="dxa"/>
            <w:vAlign w:val="bottom"/>
            <w:gridSpan w:val="3"/>
          </w:tcPr>
          <w:p>
            <w:pPr>
              <w:ind w:left="320"/>
              <w:spacing w:after="0"/>
              <w:rPr>
                <w:sz w:val="20"/>
                <w:szCs w:val="20"/>
                <w:color w:val="auto"/>
              </w:rPr>
            </w:pPr>
            <w:r>
              <w:rPr>
                <w:rFonts w:ascii="Arial" w:cs="Arial" w:eastAsia="Arial" w:hAnsi="Arial"/>
                <w:sz w:val="14"/>
                <w:szCs w:val="14"/>
                <w:b w:val="1"/>
                <w:bCs w:val="1"/>
                <w:color w:val="auto"/>
              </w:rPr>
              <w:t>AUM Weight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 of AUM Ahead of Benchmark</w:t>
            </w:r>
            <w:r>
              <w:rPr>
                <w:rFonts w:ascii="Arial" w:cs="Arial" w:eastAsia="Arial" w:hAnsi="Arial"/>
                <w:sz w:val="18"/>
                <w:szCs w:val="18"/>
                <w:b w:val="1"/>
                <w:bCs w:val="1"/>
                <w:color w:val="auto"/>
                <w:w w:val="94"/>
                <w:vertAlign w:val="superscript"/>
              </w:rPr>
              <w:t>(1)</w:t>
            </w:r>
          </w:p>
        </w:tc>
        <w:tc>
          <w:tcPr>
            <w:tcW w:w="1060" w:type="dxa"/>
            <w:vAlign w:val="bottom"/>
          </w:tcPr>
          <w:p>
            <w:pPr>
              <w:spacing w:after="0"/>
              <w:rPr>
                <w:sz w:val="18"/>
                <w:szCs w:val="18"/>
                <w:color w:val="auto"/>
              </w:rPr>
            </w:pPr>
          </w:p>
        </w:tc>
      </w:tr>
      <w:tr>
        <w:trPr>
          <w:trHeight w:val="180"/>
        </w:trPr>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ind w:left="520"/>
              <w:spacing w:after="0"/>
              <w:rPr>
                <w:sz w:val="20"/>
                <w:szCs w:val="20"/>
                <w:color w:val="auto"/>
              </w:rPr>
            </w:pPr>
            <w:r>
              <w:rPr>
                <w:rFonts w:ascii="Arial" w:cs="Arial" w:eastAsia="Arial" w:hAnsi="Arial"/>
                <w:sz w:val="14"/>
                <w:szCs w:val="14"/>
                <w:b w:val="1"/>
                <w:bCs w:val="1"/>
                <w:color w:val="auto"/>
              </w:rPr>
              <w:t>3-year</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5-year</w:t>
            </w:r>
          </w:p>
        </w:tc>
        <w:tc>
          <w:tcPr>
            <w:tcW w:w="10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10-year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 alternatives</w:t>
            </w:r>
            <w:r>
              <w:rPr>
                <w:rFonts w:ascii="Arial" w:cs="Arial" w:eastAsia="Arial" w:hAnsi="Arial"/>
                <w:sz w:val="9"/>
                <w:szCs w:val="9"/>
                <w:color w:val="auto"/>
              </w:rPr>
              <w:t>(2)</w:t>
            </w:r>
          </w:p>
        </w:tc>
        <w:tc>
          <w:tcPr>
            <w:tcW w:w="25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19 %</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Global equity</w:t>
            </w:r>
            <w:r>
              <w:rPr>
                <w:rFonts w:ascii="Arial" w:cs="Arial" w:eastAsia="Arial" w:hAnsi="Arial"/>
                <w:sz w:val="9"/>
                <w:szCs w:val="9"/>
                <w:color w:val="auto"/>
              </w:rPr>
              <w:t>(2)</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29 %</w:t>
            </w:r>
          </w:p>
        </w:tc>
        <w:tc>
          <w:tcPr>
            <w:tcW w:w="142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r>
              <w:rPr>
                <w:rFonts w:ascii="Arial" w:cs="Arial" w:eastAsia="Arial" w:hAnsi="Arial"/>
                <w:sz w:val="9"/>
                <w:szCs w:val="9"/>
                <w:color w:val="auto"/>
              </w:rPr>
              <w:t>(2)</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Multi-asset and fixed income</w:t>
            </w:r>
            <w:r>
              <w:rPr>
                <w:rFonts w:ascii="Arial" w:cs="Arial" w:eastAsia="Arial" w:hAnsi="Arial"/>
                <w:sz w:val="9"/>
                <w:szCs w:val="9"/>
                <w:color w:val="auto"/>
              </w:rPr>
              <w:t>(3)</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17 %</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AUM Weight</w:t>
            </w:r>
          </w:p>
        </w:tc>
        <w:tc>
          <w:tcPr>
            <w:tcW w:w="438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 of AUM Ahead of Benchmark</w:t>
            </w:r>
            <w:r>
              <w:rPr>
                <w:rFonts w:ascii="Arial" w:cs="Arial" w:eastAsia="Arial" w:hAnsi="Arial"/>
                <w:sz w:val="18"/>
                <w:szCs w:val="18"/>
                <w:b w:val="1"/>
                <w:bCs w:val="1"/>
                <w:color w:val="auto"/>
                <w:vertAlign w:val="superscript"/>
              </w:rPr>
              <w:t>(1)</w:t>
            </w:r>
          </w:p>
        </w:tc>
      </w:tr>
      <w:tr>
        <w:trPr>
          <w:trHeight w:val="190"/>
        </w:trPr>
        <w:tc>
          <w:tcPr>
            <w:tcW w:w="52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IRR Latest Vintage</w:t>
            </w:r>
          </w:p>
        </w:tc>
        <w:tc>
          <w:tcPr>
            <w:tcW w:w="214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IRR Last Three Vintages</w:t>
            </w:r>
          </w:p>
        </w:tc>
      </w:tr>
      <w:tr>
        <w:trPr>
          <w:trHeight w:val="23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markets</w:t>
            </w:r>
            <w:r>
              <w:rPr>
                <w:rFonts w:ascii="Arial" w:cs="Arial" w:eastAsia="Arial" w:hAnsi="Arial"/>
                <w:sz w:val="9"/>
                <w:szCs w:val="9"/>
                <w:color w:val="auto"/>
              </w:rPr>
              <w:t>(4)</w:t>
            </w:r>
          </w:p>
        </w:tc>
        <w:tc>
          <w:tcPr>
            <w:tcW w:w="1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240" w:hanging="332"/>
        <w:spacing w:after="0" w:line="342" w:lineRule="auto"/>
        <w:tabs>
          <w:tab w:leader="none" w:pos="327" w:val="left"/>
        </w:tabs>
        <w:numPr>
          <w:ilvl w:val="0"/>
          <w:numId w:val="12"/>
        </w:numPr>
        <w:rPr>
          <w:rFonts w:ascii="Arial" w:cs="Arial" w:eastAsia="Arial" w:hAnsi="Arial"/>
          <w:sz w:val="8"/>
          <w:szCs w:val="8"/>
          <w:color w:val="auto"/>
        </w:rPr>
      </w:pPr>
      <w:r>
        <w:rPr>
          <w:rFonts w:ascii="Arial" w:cs="Arial" w:eastAsia="Arial" w:hAnsi="Arial"/>
          <w:sz w:val="16"/>
          <w:szCs w:val="16"/>
          <w:color w:val="auto"/>
        </w:rPr>
        <w:t>Past performance is not indicative of future results. Performance and AUM information is as of December 31, 2022 and is based on data available at the time of calculation. Product returns are sourced from Affiliates while benchmark returns are generally sourced via third-party subscriptions.</w:t>
      </w:r>
    </w:p>
    <w:p>
      <w:pPr>
        <w:spacing w:after="0" w:line="56" w:lineRule="exact"/>
        <w:rPr>
          <w:rFonts w:ascii="Arial" w:cs="Arial" w:eastAsia="Arial" w:hAnsi="Arial"/>
          <w:sz w:val="8"/>
          <w:szCs w:val="8"/>
          <w:color w:val="auto"/>
        </w:rPr>
      </w:pPr>
    </w:p>
    <w:p>
      <w:pPr>
        <w:ind w:left="340" w:hanging="332"/>
        <w:spacing w:after="0" w:line="271" w:lineRule="auto"/>
        <w:tabs>
          <w:tab w:leader="none" w:pos="327" w:val="left"/>
        </w:tabs>
        <w:numPr>
          <w:ilvl w:val="0"/>
          <w:numId w:val="12"/>
        </w:numPr>
        <w:rPr>
          <w:rFonts w:ascii="Arial" w:cs="Arial" w:eastAsia="Arial" w:hAnsi="Arial"/>
          <w:sz w:val="9"/>
          <w:szCs w:val="9"/>
          <w:color w:val="auto"/>
        </w:rPr>
      </w:pPr>
      <w:r>
        <w:rPr>
          <w:rFonts w:ascii="Arial" w:cs="Arial" w:eastAsia="Arial" w:hAnsi="Arial"/>
          <w:sz w:val="17"/>
          <w:szCs w:val="17"/>
          <w:color w:val="auto"/>
        </w:rPr>
        <w:t>For liquid alternative, global equity, and U.S. equity products, performance is reported as the percentage of assets that have outperformed benchmarks across the indicated periods, and excludes market-hedging products. For purposes of investment performance comparisons, products are an aggregation of portfolios (separate accounts, investment funds, and other products) that each represent a particular investment objective, using the most representative portfolio for the performance comparison. Performance is presented for products with a three-, five-, and/or ten-year track record and is measured on a consistent basis relative to the most appropriate benchmarks. Benchmark appropriateness is generally reviewed annually to reflect any changes in how underlying portfolios/mandates are managed. Product and benchmark performance is reflected as total return and is annualized. Reported product performance is gross-of-fees for institutional and high-net-worth separate accounts, and generally net-of-fees across retail funds and other commingled vehicles such as hedge funds.</w:t>
      </w:r>
    </w:p>
    <w:p>
      <w:pPr>
        <w:spacing w:after="0" w:line="97" w:lineRule="exact"/>
        <w:rPr>
          <w:rFonts w:ascii="Arial" w:cs="Arial" w:eastAsia="Arial" w:hAnsi="Arial"/>
          <w:sz w:val="9"/>
          <w:szCs w:val="9"/>
          <w:color w:val="auto"/>
        </w:rPr>
      </w:pPr>
    </w:p>
    <w:p>
      <w:pPr>
        <w:ind w:left="340" w:right="20" w:hanging="332"/>
        <w:spacing w:after="0" w:line="342" w:lineRule="auto"/>
        <w:tabs>
          <w:tab w:leader="none" w:pos="327" w:val="left"/>
        </w:tabs>
        <w:numPr>
          <w:ilvl w:val="0"/>
          <w:numId w:val="12"/>
        </w:numPr>
        <w:rPr>
          <w:rFonts w:ascii="Arial" w:cs="Arial" w:eastAsia="Arial" w:hAnsi="Arial"/>
          <w:sz w:val="8"/>
          <w:szCs w:val="8"/>
          <w:color w:val="auto"/>
        </w:rPr>
      </w:pPr>
      <w:r>
        <w:rPr>
          <w:rFonts w:ascii="Arial" w:cs="Arial" w:eastAsia="Arial" w:hAnsi="Arial"/>
          <w:sz w:val="16"/>
          <w:szCs w:val="16"/>
          <w:color w:val="auto"/>
        </w:rPr>
        <w:t>Multi-asset and fixed income products are mainly our wealth management and solutions offerings. These investment products are primarily customized toward wealth preservation, estate planning, and liability and tax management, and therefore are typically not measured against a benchmark.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right="40" w:hanging="332"/>
        <w:spacing w:after="0" w:line="290" w:lineRule="auto"/>
        <w:tabs>
          <w:tab w:leader="none" w:pos="327" w:val="left"/>
        </w:tabs>
        <w:numPr>
          <w:ilvl w:val="0"/>
          <w:numId w:val="13"/>
        </w:numPr>
        <w:rPr>
          <w:rFonts w:ascii="Arial" w:cs="Arial" w:eastAsia="Arial" w:hAnsi="Arial"/>
          <w:sz w:val="8"/>
          <w:szCs w:val="8"/>
          <w:color w:val="auto"/>
        </w:rPr>
      </w:pPr>
      <w:r>
        <w:rPr>
          <w:rFonts w:ascii="Arial" w:cs="Arial" w:eastAsia="Arial" w:hAnsi="Arial"/>
          <w:sz w:val="16"/>
          <w:szCs w:val="16"/>
          <w:color w:val="auto"/>
        </w:rPr>
        <w:t>For private markets products, performance is reported as the percentage of assets that have outperformed benchmarks on a since-inception internal rate of return basis. Benchmarks utilized include a combination of public market equivalents, peer medians, and absolute returns where benchmarks are not available. For purposes of investment performance comparisons, the latest vintage comparison includes the most recent vehicles and strategies (traditional long-duration investment funds, customized vehicles, and other evergreen vehicles and product structures) where meaningful performance is available and calculable. In order to illustrate the performance of our private markets product category over a longer period of history, the last three vintages comparison incorporates the latest vintage vehicles and the prior two vintages for traditional long-duration investment funds, as well as additional vehicles and strategies launched during the equivalent time period as the last three vintages of traditional long duration investment funds. Due to the nature of these investments and vehicles, reported performance is typically on a three- to six-month lag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 Fees</w:t>
      </w:r>
    </w:p>
    <w:p>
      <w:pPr>
        <w:spacing w:after="0" w:line="158"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Aggregate fees consist of asset- and performance-based fees of our consolidated and equity method Affiliates. Asset-based fees include advisory and other fees earned by our Affiliates for services provided to their clients and are typically determined as a percentage of the value of a client’s assets under management, generally inclusive of uncalled commitments. Asset-based fees are generally impacted by the level of average assets under management and the composition of these assets across our strategies with different asset-based fee ratios. Our asset-based fee ratio is calculated as asset-based fees divided by average assets under management.</w:t>
      </w:r>
    </w:p>
    <w:p>
      <w:pPr>
        <w:spacing w:after="0" w:line="12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some cases, if product returns exceed certain performance thresholds, we will participate in performance-based fees. Performance-based fees are based on investment performance, typically on an absolute basis or relative to a benchmark or hurdle rate, and are generally recognized when it is improbable that there will be a significant reversal in the amount of revenue recognized. Performance-based fees are generally billed less frequently than asset-based fees, and although performance-based fees inherently depend on investment performance and will vary from period to period, we anticipate performance-based fees will be a recurring component of our aggregate fees; however, we do not anticipate these fees to be a significant component of our Consolidated revenue as these fees are predominantly earned by our Affiliates accounted for under the equity method. As of December 31, 2022, approximately 27% of our total assets under management could potentially earn performance-based fees. These percentages were approximately 12% and 48% of our assets under management for our consolidated Affiliates and Affiliates accounted for under the equity method, respectively.</w:t>
      </w:r>
    </w:p>
    <w:p>
      <w:pPr>
        <w:spacing w:after="0" w:line="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Aggregate fees were $5,560.5 million in 2022, a decrease of $50.9 million or 1% as compared to 2021. The decrease in our aggregate fees was due to a $171.6 million or 3% decrease from asset-based fees, offset by a $120.7 million or 2% increase from performance-based fees primarily in our liquid alternative and private markets strategies. The decrease in asset-based fees was due to a decrease in average assets under management, primarily in our global equity strategies driven by equity markets, offset by new Affiliate investments in the fourth quarter of 2021 and changes in the composition of our assets under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Supplemental Financial Performance Measures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financial and supplemental financial performance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7"/>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Adjusted EBITDA (controlling interest)</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1,058.6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net income (controlling interest)</w:t>
            </w:r>
            <w:r>
              <w:rPr>
                <w:rFonts w:ascii="Arial" w:cs="Arial" w:eastAsia="Arial" w:hAnsi="Arial"/>
                <w:sz w:val="9"/>
                <w:szCs w:val="9"/>
                <w:color w:val="auto"/>
              </w:rPr>
              <w:t>(2)</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7" w:lineRule="exact"/>
        <w:rPr>
          <w:rFonts w:ascii="Arial" w:cs="Arial" w:eastAsia="Arial" w:hAnsi="Arial"/>
          <w:sz w:val="9"/>
          <w:szCs w:val="9"/>
          <w:color w:val="auto"/>
        </w:rPr>
      </w:pPr>
    </w:p>
    <w:p>
      <w:pPr>
        <w:ind w:left="340" w:right="300" w:hanging="332"/>
        <w:spacing w:after="0" w:line="277"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8"/>
          <w:szCs w:val="18"/>
          <w:color w:val="auto"/>
        </w:rPr>
        <w:t>Adjusted EBITDA (controlling interest) and Economic net income (controlling interest) are non-GAAP performance measures and are discussed in “Supplemental Financial Performance Measures.”</w:t>
      </w:r>
    </w:p>
    <w:p>
      <w:pPr>
        <w:spacing w:after="0" w:line="10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Adjusted EBITDA (controlling interest) is an important supplemental financial performance measure for management as it provides a comprehensive view of our share of the financial performance of our business. Adjusted EBITDA (controlling interest) increased $1.7 million in 2022, primarily due to the impact of new Affiliate investments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the recognition of performance-based fees earned by Affiliates in which we hold more of an economic interest, partially offset by the impact of the decline in markets.</w:t>
      </w:r>
    </w:p>
    <w:p>
      <w:pPr>
        <w:spacing w:after="0" w:line="89" w:lineRule="exact"/>
        <w:rPr>
          <w:sz w:val="20"/>
          <w:szCs w:val="20"/>
          <w:color w:val="auto"/>
        </w:rPr>
      </w:pPr>
    </w:p>
    <w:p>
      <w:pPr>
        <w:jc w:val="both"/>
        <w:ind w:right="760" w:firstLine="324"/>
        <w:spacing w:after="0" w:line="263" w:lineRule="auto"/>
        <w:rPr>
          <w:sz w:val="20"/>
          <w:szCs w:val="20"/>
          <w:color w:val="auto"/>
        </w:rPr>
      </w:pPr>
      <w:r>
        <w:rPr>
          <w:rFonts w:ascii="Arial" w:cs="Arial" w:eastAsia="Arial" w:hAnsi="Arial"/>
          <w:sz w:val="18"/>
          <w:szCs w:val="18"/>
          <w:color w:val="auto"/>
        </w:rPr>
        <w:t>Net income (controlling interest) increased $580.2 million in 2022. This increase was primarily due to a $641.9 million gain from the BPEA Transaction, partially offset by a $117.8 million increase in Income tax expense attributable to the controlling interest, primarily due to the BPEA Transaction.</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believe Economic net income (controlling interest) is an important supplemental financial performance measure because it represents our performance before non-cash expenses relating to our acquisition of interests in Affiliates and improves comparability of performance between periods. Economic net income (controlling interest) increased $22.3 million or 3% in 2022 primarily due to a $29.3 million decrease in current and other deferred taxes primarily attributable to the controlling interest excluding the impact of the BPEA Transaction and a $1.7 million increase in Adjusted EBITDA (controlling interest), partially offset by a $3.0 million increase in Interest expense attributable to the controlling interest.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following discussion includes the key operating performance measures and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income (loss)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Revenue</w:t>
      </w:r>
    </w:p>
    <w:p>
      <w:pPr>
        <w:spacing w:after="0" w:line="158" w:lineRule="exact"/>
        <w:rPr>
          <w:sz w:val="20"/>
          <w:szCs w:val="20"/>
          <w:color w:val="auto"/>
        </w:rPr>
      </w:pPr>
    </w:p>
    <w:p>
      <w:pPr>
        <w:jc w:val="both"/>
        <w:ind w:right="360" w:firstLine="324"/>
        <w:spacing w:after="0" w:line="279" w:lineRule="auto"/>
        <w:rPr>
          <w:sz w:val="20"/>
          <w:szCs w:val="20"/>
          <w:color w:val="auto"/>
        </w:rPr>
      </w:pPr>
      <w:r>
        <w:rPr>
          <w:rFonts w:ascii="Arial" w:cs="Arial" w:eastAsia="Arial" w:hAnsi="Arial"/>
          <w:sz w:val="17"/>
          <w:szCs w:val="17"/>
          <w:color w:val="auto"/>
        </w:rPr>
        <w:t>Our Consolidated revenue is derived from our consolidated Affiliates, primarily from asset-based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 average assets under management and the composition of these assets across our strategies with different asset-based fee ratios and performance-based fees.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Affiliate average assets under management and Consolidated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right"/>
              <w:ind w:right="416"/>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as noted)</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Affiliate average assets under management (in billions)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Consolidated revenue</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2,412.4</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2,329.6</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Consolidated revenue decreased $82.8 million or 3% in 2022, primarily due to a $149.1 million or 6% decrease from asset-based fees, partially offset by a $66.3 million or 3% increase from performance-based fees primarily in our private markets strategies. The decrease in asset-based fees was due to a decrease in consolidated Affiliate average assets under management in our global equity strategies driven by equity markets, partially offset by increases in our U.S. equity strategies, driven by new Affiliate investments in the fourth quarter of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Expenses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expenses are primarily attributable to the non-controlling interests of our consolidated Affiliates.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expenses: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other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(net)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consolidated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Compensation and related expenses increased $24.4 million or 2% in 2022, primarily due to a $131.6 million increase in compensation as a result of new Affiliate investments in the fourth quarter of 2021. This increase was partially offset by a $94.4 million decrease in compensation correlated to the decrease in Consolidated revenue and an $11.9 million decrease in Affiliate equity compensation expense.</w:t>
      </w:r>
    </w:p>
    <w:p>
      <w:pPr>
        <w:spacing w:after="0" w:line="98"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Selling, general and administrative expenses increased $38.4 million or 11% in 2022, primarily due to a $36.0 million increase in distribution- and investment-related expenses principally as a result of new Affiliate investments in the fourth quarter of 2021 and a $10.0 million increase in travel-related expenses. These increases were partially offset by a $14.7 million decrease in sub-advisory expenses related to the changes to our distribution platform.</w:t>
      </w:r>
    </w:p>
    <w:p>
      <w:pPr>
        <w:spacing w:after="0" w:line="6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Intangible amortization and impairments increased $15.9 million or 45% in 2022, primarily due to an $18.3 million increase in amortization expense due to new Affiliate investments in the fourth quarter of 2021.</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Interest expense increased $3.0 million or 3% in 2022, primarily due to a $4.7 million increase due to higher interest rates on our senior unsecured term loan facility (the “term loan”) and a $4.5 million increase from our debt securities issued in 2021. These increases were partially offset by a $5.5 million decrease from our junior convertible debt securities due to lower principal balance resulting from repurchases and lower accretion expense after the adoption of ASU 2020-06 in the first quarter of 2022.</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in Depreciation and other amortization in 2022.</w:t>
      </w:r>
    </w:p>
    <w:p>
      <w:pPr>
        <w:spacing w:after="0" w:line="14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Other expenses (net) decreased $38.8 million or 53% in 2022, primarily due to a $39.7 million decrease in expenses related to changes in the values of contingent payment obligations and Affiliate equity purchase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Income (Loss) (Net)</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When we do not own a controlling equity interest in an Affiliate, but have significant influence, we account for our interest in the Affiliate under the equity method. Our share of earnings or losses from Affiliates accounted for under the equity method, net of amortization and impairments, is included in Equity method income (loss) (net).</w:t>
      </w:r>
    </w:p>
    <w:p>
      <w:pPr>
        <w:spacing w:after="0" w:line="1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 majority of these Affiliates, we use structured partnership interests in which we contractually share in the Affiliate’s revenue less agreed-upon expenses. We also use structured partnership interests in which we contractually share in the Affiliate’s revenue without regard to expenses. Our share of earnings or losses from Affiliates accounted for under the equity method, net of amortization and impairments, is included in Equity method income (loss) (net).</w:t>
      </w:r>
    </w:p>
    <w:p>
      <w:pPr>
        <w:spacing w:after="0" w:line="1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equity method revenue is derived primarily from asset- and performance-based fees from investment management services. Equity method revenue incorporates the total asset- and performance-based fees earned by all of our Affiliates accounted for under the equity method and is generally determined by the level of our equity method Affiliate average assets under management and the composition of these assets across our strategies with different asset-based fee ratios and performance-based fees. Our Affiliates accounted for under the equity method manage a greater proportion of assets subject to performance-based fees than our consolidated Affiliates and, as a result, equity method revenue will generally have more performance-based fees than Consolidated revenue.</w:t>
      </w:r>
    </w:p>
    <w:p>
      <w:pPr>
        <w:spacing w:after="0" w:line="1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presents equity method Affiliate average assets under management and equity method revenue, as well as equity method earnings, equity method intangible amortization, and equity method intangible impairments, which in aggregate form Equity method income (loss) (net):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right"/>
              <w:ind w:right="413"/>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as noted)</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Performance Measures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Equity method Affiliate average assets under management (in billions)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Performance Measures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Equity method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intangible impairments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income (loss)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equity method revenue increased $31.9 million or 1% in 2022, due to a $54.4 million or 2% increase from performance-based fees, primarily in our liquid alternative strategies, partially offset by a $22.5 million or 1% decrease from asset-based fees. The decrease in asset-based fees was due to a decrease in equity method Affiliate average assets under management, primarily in our global equity strategies driven by equity markets, offset by changes in the composition of our assets under management.</w:t>
      </w:r>
    </w:p>
    <w:p>
      <w:pPr>
        <w:spacing w:after="0" w:line="11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Equity method earnings increased $79.7 million or 19% in 2022, while equity method revenue increased $31.9 million or 1%. Equity method earnings increased more than equity method revenue on a percentage basis primarily due to the recognition of performance-based fees earned by Affiliates in which we hold more of an economic interest and the impact of our additional investment in Systematica.</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Equity method intangible amortization decreased $13.9 million or 11% in 2022, primarily due to a $43.2 million decrease in amortization expense related to certain definite-lived assets being fully amortized. This decrease was partially offset by a $19.4 million increase in amortization expense due to an increase in actual and expected client attrition for certain definite-lived acquired client relationships and a $10.7 million increase in amortization expense due to investments in new and existing Affiliates.</w:t>
      </w:r>
    </w:p>
    <w:p>
      <w:pPr>
        <w:spacing w:after="0" w:line="106" w:lineRule="exact"/>
        <w:rPr>
          <w:sz w:val="20"/>
          <w:szCs w:val="20"/>
          <w:color w:val="auto"/>
        </w:rPr>
      </w:pPr>
    </w:p>
    <w:p>
      <w:pPr>
        <w:ind w:right="1340" w:firstLine="324"/>
        <w:spacing w:after="0" w:line="422" w:lineRule="auto"/>
        <w:rPr>
          <w:sz w:val="20"/>
          <w:szCs w:val="20"/>
          <w:color w:val="auto"/>
        </w:rPr>
      </w:pPr>
      <w:r>
        <w:rPr>
          <w:rFonts w:ascii="Arial" w:cs="Arial" w:eastAsia="Arial" w:hAnsi="Arial"/>
          <w:sz w:val="18"/>
          <w:szCs w:val="18"/>
          <w:color w:val="auto"/>
        </w:rPr>
        <w:t xml:space="preserve">Equity method intangible impairments decreased $2.0 million or 4% in 2022. See Note 10 of our Consolidated Financial Statements. </w:t>
      </w:r>
      <w:r>
        <w:rPr>
          <w:rFonts w:ascii="Arial" w:cs="Arial" w:eastAsia="Arial" w:hAnsi="Arial"/>
          <w:sz w:val="18"/>
          <w:szCs w:val="18"/>
          <w:i w:val="1"/>
          <w:iCs w:val="1"/>
          <w:u w:val="single" w:color="auto"/>
          <w:color w:val="auto"/>
        </w:rPr>
        <w:t>BPEA Transaction Gain</w:t>
      </w:r>
    </w:p>
    <w:p>
      <w:pPr>
        <w:spacing w:after="0" w:line="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the year ended December 31, 2022, we recorded a $641.9 million gain on the BPEA Transaction. See Note 10 of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and Other Income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Investment and other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7"/>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and other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Investment and other income decreased $7.3 million or 6% in 2022, primarily due to a $106.3 million decrease in net realized and unrealized gains on Other investments, offset by an $82.8 million increase in realized and unrealized gains on Investments in marketable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Income tax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7"/>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251.0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7"/>
              </w:rPr>
              <w:t>N.M.</w:t>
            </w:r>
            <w:r>
              <w:rPr>
                <w:rFonts w:ascii="Arial" w:cs="Arial" w:eastAsia="Arial" w:hAnsi="Arial"/>
                <w:sz w:val="9"/>
                <w:szCs w:val="9"/>
                <w:color w:val="auto"/>
                <w:w w:val="97"/>
              </w:rPr>
              <w:t>(1)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Income tax expense increased $107.3 million or 43% in 2022, primarily due to a $117.8 million increase in taxes attributable to the controlling interest, offset by a $10.5 million decrease in taxes attributable to the non-controlling interest. The increase in taxes attributable to the controlling interest was primarily due to a $167.6 million tax expense related to the BPEA Transaction, partially offset by a $19.1 million deferred tax expense resulting from an increase in the UK tax rate enacted in the second quarter of 2021 that did not reoccur and an $11.8 million increase in tax benefits from foreign operations. The decrease in taxes attributable to the non-controlling interest was primarily due to a $6.0 million deferred tax expense resulting from the aforementioned UK tax rate change in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Net income (controlling interest) and Net income (non-controlling interest):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7"/>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Net income (non-controlling interests)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Net income (controlling interest) increased $580.2 million in 2022, primarily due to the gain from the BPEA Transaction, partially offset by an increase in Income tax expense attributable to the controlling interest, primarily due to the BPEA Transaction.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Performance Measures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(controlling interest)</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supplemental information, we provide a non-GAAP measure that we refer to as Adjusted EBITDA (controlling interest). Adjusted EBITDA (controlling interest) is an important supplemental financial performance measure for management as it provides a comprehensive view of our share of the financial performance of our business before interest expense, income taxes, depreciation, amortization, impairments, gains and losses related to the BPEA Transaction, certain Affiliate equity expenses, certain gains and losses, including on general partner and seed capital investments, certain non-income based taxes, and adjustments to our contingent payment obligations. We believe that many investors use this measure when assessing the financial performance of companies in the investment management industry. This non-GAAP performance measure is provided in addition to, but not as a substitute for, Net income (controlling interest) or other GAAP performance measures.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Adjusted EBITDA (controlling interest):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7"/>
          </w:tcPr>
          <w:p>
            <w:pPr>
              <w:jc w:val="right"/>
              <w:ind w:right="43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BPEA Transaction</w:t>
            </w:r>
            <w:r>
              <w:rPr>
                <w:rFonts w:ascii="Arial" w:cs="Arial" w:eastAsia="Arial" w:hAnsi="Arial"/>
                <w:sz w:val="9"/>
                <w:szCs w:val="9"/>
                <w:color w:val="auto"/>
              </w:rPr>
              <w:t>(2)</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items</w:t>
            </w:r>
            <w:r>
              <w:rPr>
                <w:rFonts w:ascii="Arial" w:cs="Arial" w:eastAsia="Arial" w:hAnsi="Arial"/>
                <w:sz w:val="9"/>
                <w:szCs w:val="9"/>
                <w:color w:val="auto"/>
              </w:rPr>
              <w:t>(3)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40" w:right="60" w:hanging="332"/>
        <w:spacing w:after="0" w:line="279" w:lineRule="auto"/>
        <w:tabs>
          <w:tab w:leader="none" w:pos="327" w:val="left"/>
        </w:tabs>
        <w:numPr>
          <w:ilvl w:val="0"/>
          <w:numId w:val="19"/>
        </w:numPr>
        <w:rPr>
          <w:rFonts w:ascii="Arial" w:cs="Arial" w:eastAsia="Arial" w:hAnsi="Arial"/>
          <w:sz w:val="9"/>
          <w:szCs w:val="9"/>
          <w:color w:val="auto"/>
        </w:rPr>
      </w:pPr>
      <w:r>
        <w:rPr>
          <w:rFonts w:ascii="Arial" w:cs="Arial" w:eastAsia="Arial" w:hAnsi="Arial"/>
          <w:sz w:val="17"/>
          <w:szCs w:val="17"/>
          <w:color w:val="auto"/>
        </w:rPr>
        <w:t>Intangible amortization and impairments in our Consolidated Statements of Income include amortization attributable to the non-controlling interests of our consolidated Affiliates. For our Affiliates accounted for under the equity method, we do not separately report intangible amortization and impairments in our Consolidated Statements of Income. Our share of these Affiliates’ amortization and impairments is reported in Equity method income (loss) (net). The following table presents the Intangible amortization and impairments shown above:</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3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intangible amortization and impairments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Consolidated intangible amortization and impairments (non-controlling interests)</w:t>
            </w:r>
          </w:p>
        </w:tc>
        <w:tc>
          <w:tcPr>
            <w:tcW w:w="24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3"/>
              </w:rPr>
              <w:t>(44.8)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 and impairments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80" w:hanging="332"/>
        <w:spacing w:after="0" w:line="27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8"/>
          <w:szCs w:val="18"/>
          <w:color w:val="auto"/>
        </w:rPr>
        <w:t>Includes BPEA Transaction gain of $641.9 million and realized and unrealized gains on EQT ordinary shares of $43.8 million and $57.9 million, respectively.</w:t>
      </w:r>
    </w:p>
    <w:p>
      <w:pPr>
        <w:spacing w:after="0" w:line="89" w:lineRule="exact"/>
        <w:rPr>
          <w:rFonts w:ascii="Arial" w:cs="Arial" w:eastAsia="Arial" w:hAnsi="Arial"/>
          <w:sz w:val="9"/>
          <w:szCs w:val="9"/>
          <w:color w:val="auto"/>
        </w:rPr>
      </w:pPr>
    </w:p>
    <w:p>
      <w:pPr>
        <w:ind w:left="340" w:right="140" w:hanging="332"/>
        <w:spacing w:after="0" w:line="27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8"/>
          <w:szCs w:val="18"/>
          <w:color w:val="auto"/>
        </w:rPr>
        <w:t>Other items include depreciation, adjustments to contingent payment obligations, certain Affiliate equity expenses, certain gains and losses, including on general partner and seed capital investments, and certain non-income based taxes.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Economic Net Income (controlling interest) and Economic Earnings Per Share</w:t>
      </w:r>
    </w:p>
    <w:p>
      <w:pPr>
        <w:spacing w:after="0" w:line="1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supplemental information, we also provide non-GAAP performance measures that we refer to as Economic net income (controlling interest) and Economic earnings per share. We believe Economic net income (controlling interest) and Economic earnings per share are important measures because they represent our performance before non-cash expenses relating to the acquisition of interests in Affiliates and improve comparability of performance between periods. Economic net income (controlling interest) and Economic earnings per share are used by our management and Board of Directors as our principal performance benchmarks, including as one of the measures for aligning executive compensation with stockholder value. These non-GAAP performance measures are provided in addition to, but not as substitutes for, Net income (controlling interest) and Earnings per share (diluted) or other GAAP performance measures.</w:t>
      </w:r>
    </w:p>
    <w:p>
      <w:pPr>
        <w:spacing w:after="0" w:line="11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adjust Net income (controlling interest) to calculate Economic net income (controlling interest) by adding back our share of pre-tax intangible amortization and impairments attributable to intangible assets (including the portion attributable to equity method investments in Affiliates) because these expenses do not correspond to the changes in the value of these assets, which do not diminish predictably over time. We also add back the deferred taxes attributable to intangible assets because we believe it is unlikely these accruals will be used to settle material tax obligations. Further, we add back gains and losses related to the BPEA Transaction, net of tax and other economic items to improve comparability of performance between periods.</w:t>
      </w:r>
    </w:p>
    <w:p>
      <w:pPr>
        <w:spacing w:after="0" w:line="9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Economic earnings per share represents Economic net income (controlling interest) divided by the Average shares outstanding (adjusted diluted). In this calculation, we exclude the potential shares issued upon settlement of Redeemable non-controlling interests from Average shares outstanding (adjusted diluted) because we intend to settle those obligations without issuing shares, consistent with all prior Affiliate equity purchase transactions. The potential share issuance in connection with our junior convertible securities is measured using a “treasury stock” method. Under this method, only the net number of shares of common stock equal to the value of these junior convertible securities in excess of par, if any, is deemed to be outstanding. We believe the inclusion of net shares under a treasury stock method best reflects the benefit of the increase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6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a reconciliation of Net income (controlling interest) to Economic net income (controlling interest) and Economic earnings per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7"/>
          </w:tcPr>
          <w:p>
            <w:pPr>
              <w:jc w:val="right"/>
              <w:ind w:right="43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Intangible-related deferred taxes</w:t>
            </w:r>
            <w:r>
              <w:rPr>
                <w:rFonts w:ascii="Arial" w:cs="Arial" w:eastAsia="Arial" w:hAnsi="Arial"/>
                <w:sz w:val="9"/>
                <w:szCs w:val="9"/>
                <w:color w:val="auto"/>
              </w:rPr>
              <w:t>(2)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BPEA Transaction</w:t>
            </w:r>
            <w:r>
              <w:rPr>
                <w:rFonts w:ascii="Arial" w:cs="Arial" w:eastAsia="Arial" w:hAnsi="Arial"/>
                <w:sz w:val="9"/>
                <w:szCs w:val="9"/>
                <w:color w:val="auto"/>
              </w:rPr>
              <w:t>(3)</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economic items</w:t>
            </w:r>
            <w:r>
              <w:rPr>
                <w:rFonts w:ascii="Arial" w:cs="Arial" w:eastAsia="Arial" w:hAnsi="Arial"/>
                <w:sz w:val="9"/>
                <w:szCs w:val="9"/>
                <w:color w:val="auto"/>
              </w:rPr>
              <w:t>(4)</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Economic net income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Arial" w:cs="Arial" w:eastAsia="Arial" w:hAnsi="Arial"/>
                <w:sz w:val="18"/>
                <w:szCs w:val="18"/>
                <w:color w:val="auto"/>
              </w:rPr>
              <w:t>Hypothetical issuance of shares to settle Redeemable non-controlling interests</w:t>
            </w:r>
          </w:p>
        </w:tc>
        <w:tc>
          <w:tcPr>
            <w:tcW w:w="2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issuance of junior convertible securities shares</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Average shares outstanding (adjusted diluted)</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9"/>
          <w:szCs w:val="9"/>
          <w:color w:val="auto"/>
        </w:rPr>
      </w:pPr>
      <w:r>
        <w:rPr>
          <w:rFonts w:ascii="Arial" w:cs="Arial" w:eastAsia="Arial" w:hAnsi="Arial"/>
          <w:sz w:val="18"/>
          <w:szCs w:val="18"/>
          <w:color w:val="auto"/>
        </w:rPr>
        <w:t>See note (1) to the table in “Adjusted EBITDA (controlling interest).”</w:t>
      </w:r>
    </w:p>
    <w:p>
      <w:pPr>
        <w:spacing w:after="0" w:line="157" w:lineRule="exact"/>
        <w:rPr>
          <w:rFonts w:ascii="Arial" w:cs="Arial" w:eastAsia="Arial" w:hAnsi="Arial"/>
          <w:sz w:val="9"/>
          <w:szCs w:val="9"/>
          <w:color w:val="auto"/>
        </w:rPr>
      </w:pPr>
    </w:p>
    <w:p>
      <w:pPr>
        <w:ind w:left="340" w:right="220" w:hanging="332"/>
        <w:spacing w:after="0" w:line="27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8"/>
          <w:szCs w:val="18"/>
          <w:color w:val="auto"/>
        </w:rPr>
        <w:t>For the year ended December 31, 2022, intangible-related deferred taxes have been adjusted to eliminate a $13.5 million benefit related to the BPEA Transaction.</w:t>
      </w:r>
    </w:p>
    <w:p>
      <w:pPr>
        <w:spacing w:after="0" w:line="89" w:lineRule="exact"/>
        <w:rPr>
          <w:rFonts w:ascii="Arial" w:cs="Arial" w:eastAsia="Arial" w:hAnsi="Arial"/>
          <w:sz w:val="9"/>
          <w:szCs w:val="9"/>
          <w:color w:val="auto"/>
        </w:rPr>
      </w:pPr>
    </w:p>
    <w:p>
      <w:pPr>
        <w:ind w:left="340" w:right="480" w:hanging="332"/>
        <w:spacing w:after="0" w:line="277"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8"/>
          <w:szCs w:val="18"/>
          <w:color w:val="auto"/>
        </w:rPr>
        <w:t>Includes BPEA Transaction gain of $641.9 million and realized and unrealized gains on EQT ordinary shares of $43.8 million and $57.9 million, respectively, net of $167.6 million of income tax expense.</w:t>
      </w:r>
    </w:p>
    <w:p>
      <w:pPr>
        <w:spacing w:after="0" w:line="102" w:lineRule="exact"/>
        <w:rPr>
          <w:rFonts w:ascii="Arial" w:cs="Arial" w:eastAsia="Arial" w:hAnsi="Arial"/>
          <w:sz w:val="9"/>
          <w:szCs w:val="9"/>
          <w:color w:val="auto"/>
        </w:rPr>
      </w:pPr>
    </w:p>
    <w:p>
      <w:pPr>
        <w:jc w:val="both"/>
        <w:ind w:left="340" w:right="400" w:hanging="332"/>
        <w:spacing w:after="0" w:line="259" w:lineRule="auto"/>
        <w:tabs>
          <w:tab w:leader="none" w:pos="327" w:val="left"/>
        </w:tabs>
        <w:numPr>
          <w:ilvl w:val="0"/>
          <w:numId w:val="21"/>
        </w:numPr>
        <w:rPr>
          <w:rFonts w:ascii="Arial" w:cs="Arial" w:eastAsia="Arial" w:hAnsi="Arial"/>
          <w:sz w:val="9"/>
          <w:szCs w:val="9"/>
          <w:color w:val="auto"/>
        </w:rPr>
      </w:pPr>
      <w:r>
        <w:rPr>
          <w:rFonts w:ascii="Arial" w:cs="Arial" w:eastAsia="Arial" w:hAnsi="Arial"/>
          <w:sz w:val="18"/>
          <w:szCs w:val="18"/>
          <w:color w:val="auto"/>
        </w:rPr>
        <w:t>Other economic items include certain gains and losses, principally related to the accounting for contingent payment obligations as well as general partner and seed capital investments, tax windfalls and shortfalls from share-based compensation, certain Affiliate equity expenses, and non-cash imputed interest. For the years ended December 31, 2020, 2021, and 2022, other economic items were net of income tax expense (benefit) of $2.6 million, $21.8 million, and $(6.4)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generate long-term value by investing in new Affiliate partnerships, existing Affiliates, and strategic value-add capabilities through which we can leverage our scale and resources to benefit our Affiliates and enhance their long-term growth prospects. Given our annual cash generation from operations, in addition to investing for growth in our business, we are also able to return excess capital to shareholders primarily through share repurchases. We continue to manage our capital structure consistent with an investment grade company and are currently rated A3 by Moody’s Investors Service and BBB+ by S&amp;P Global Ratings.</w:t>
      </w:r>
    </w:p>
    <w:p>
      <w:pPr>
        <w:spacing w:after="0" w:line="12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Cash and cash equivalents were $429.2 million as of December 31, 2022 and were attributable to both our controlling and the non-controlling interests. Our principal uses of cash in 2022 were for investments in new and existing Affiliates, purchases of marketable securities, and the return of excess capital through share repurchases. In 2022, we met our cash requirements primarily through cash generated by operating activities and proceeds from the BPEA Transaction. Between January 1, 2023 and February 15, 2023, we have sold $196.0 million of EQT ordinary shares.</w:t>
      </w:r>
    </w:p>
    <w:p>
      <w:pPr>
        <w:spacing w:after="0" w:line="10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investments in new Affiliates, investments in existing Affiliates primarily through purchases of Affiliate equity interests and general partner and seed capital investments, the return of capital through share repurchases and the payment of cash dividends on our common stock, repayment of debt, distributions to Affiliate equity holders, and general working capital to be the primary uses of cash on a consolidated basis for the foreseeable future. We anticipate that our current cash balance, cash flows from operations, proceeds from sales of our marketable securities, and borrowings under our senior unsecured multicurrency revolving credit facility (the “revolver”) will be sufficient to support our uses of cash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may draw funding from the debt and equity capital markets, and our credit ratings, among other factors, allow us to access these sources of funding on favorable terms.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operating, investing, and financing cash flow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7"/>
          </w:tcPr>
          <w:p>
            <w:pPr>
              <w:jc w:val="right"/>
              <w:ind w:right="435"/>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w:t>
      </w:r>
    </w:p>
    <w:p>
      <w:pPr>
        <w:spacing w:after="0" w:line="15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Operating cash flows are calculated by adjusting Net income for other significant sources and uses of cash, significant non-cash items, and timing differences in the cash settlement of assets and liabilities.</w:t>
      </w:r>
    </w:p>
    <w:p>
      <w:pPr>
        <w:spacing w:after="0" w:line="1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year ended December 31, 2022, Cash flows from operating activities were $1,054.7 million, primarily from Net income of $1,388.1 million adjusted for non-cash items of $852.5 million, $393.5 million of distributions of earnings received from equity method investments, and timing differences in the cash settlement of receivables, other assets, and payables, accrued liabilities, and other liabilities of $138.5 million. These items were partially offset by net purchases of securities by consolidated sponsored investment products of $12.9 million. In 2022, operating cash flows were primarily attributable to the controlling interest.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Cash Flow</w:t>
      </w:r>
    </w:p>
    <w:p>
      <w:pPr>
        <w:spacing w:after="0" w:line="15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For the year ended December 31, 2022, Cash flows used in investing activities were $109.9 million, primarily due to $312.0 million of purchases of investment securities, principally U.S. Treasury Notes, $291.1 million of investments in Affiliates, and $11.4 million purchases of fixed assets. Cash flows used in investing activities were partially offset by $280.2 million sales of investment securities principally from the sale of EQT ordinary shares, and $223.6 million of cash proceeds from the BPEA Transaction. In 2022, investing cash flows were primarily attributable to the controlling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Cash Flow</w:t>
      </w:r>
    </w:p>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For the year ended December 31, 2022, Cash flows used in financing activities were $1,402.9 million, primarily due to the return of $718.0 million of capital to shareholders, principally through share repurchases of our common stock, $341.9 million of distributions to non-controlling interests, $201.0 million of settlement of deferred payment obligations (net of $49.8 million contributed from a co-investor), $60.8 million of repurchases of our junior convertible securities, $50.5 million of other financing items, and $46.3 million of Affiliate equity purchases, net of issuances. Cash flows used in financing activities were partially offset by $13.0 million of subscriptions to consolidated funds, net of redemptions.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Equity</w:t>
      </w:r>
    </w:p>
    <w:p>
      <w:pPr>
        <w:spacing w:after="0" w:line="15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periodically purchase Affiliate equity from and issue Affiliate equity to our consolidated Affiliate partners and other parties, under agreements that provide us with a conditional right to call and Affiliate equity holders with a conditional right to put their Affiliate equity interests to us at certain intervals. We have the right to settle a portion of these purchases in shares of our common stock.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of December 31, 2022, the current redemption value of Affiliate equity interests was $489.9 million, of which $465.4 million was presented as Redeemable non-controlling interests (including $20.1 million of consolidated Affiliate sponsored investment products primarily attributable to third-party investors), and $24.5 million was presented as Other liabilities. Although the timing and amounts of these purchases are difficult to predict, we paid $61.5 million for Affiliate equity purchases and received $15.2 million for Affiliate equity issuances during 2022, and we expect net purchases of approximately $125 million of Affiliate equity in 2023. In the event of a purchase, we become the owner of the cash flow associated with the purchased equity. See Notes 17 and 18 of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authorized share repurchase programs in October 2022, January 2022, and January 2021, to repurchase up to 3.0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million, and 5.0 million shares of our common stock, respectively, and these authorizations have no expiry. Purchases may be made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management’s discretion, in the open market or in privately negotiated transactions, including through the use of trading plans, as well as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accelerated share repurchase programs or other share repurchase strategies that may include derivative financial instruments.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we repurchased 4.5 million shares of our common stock at an average price per share of $144.45. As of December 31, 2022,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repurchased all of the shares of the January 2021 authorized amount, and there were a total of 3.9 million shares available for repurchase under our October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 and January 2022 share repurchase programs.</w:t>
      </w:r>
    </w:p>
    <w:p>
      <w:pPr>
        <w:spacing w:after="0" w:line="130"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 December 2022, we entered into an accelerated share repurchase agreement to repurchase shares of our common stock in exchange for an upfront payment of $225.0 million. We received an initial share delivery of 1.1 million shares in December 2022, which represents 80% of the upfront payment based on the closing price of our common stock on the agreement date. The total number of shares to be repurchased will be based on volume-weighted average prices of our common stock during the term of the agreement less a discount and subject to adjustments pursuant to the terms and conditions of such agreement. The final settlement of this transaction is expected to be completed in the second or third quarter of 2023.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outstanding indebtedness. See Note 6 of our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bank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notes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Junior convertible securities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carrying value of our debt differs from the amount reported in the notes to our Consolidated Financial Statements, as the carrying value of our debt in the table above is not reduced for debt issuance costs. Effective January 1, 2022, we adjusted the carrying value of our junior convertible securities (see Note 1 of our Consolidated Financial Statements).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Bank Debt</w:t>
      </w:r>
    </w:p>
    <w:p>
      <w:pPr>
        <w:spacing w:after="0" w:line="15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a $1.25 billion revolver and a $350.0 million term loan. On November 18, 2022, we (i) amended the revolver, extending the maturity date of the revolver by one year to October 25, 2027, and (ii) further amended the revolver and amended the term loan, replacing the London Interbank Offered Rate (“LIBOR”) with a term Secured Overnight Financing Rate (“SOFR”)-based rate as an applicable benchmark for each facility. The term loan matures on October 23, 2026. Subject to certain conditions, we may increase the commitments under the revolver by up to an additional $500.0 million and may borrow up to an additional $75.0 million under the term loan.</w:t>
      </w:r>
    </w:p>
    <w:p>
      <w:pPr>
        <w:spacing w:after="0" w:line="12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certain Affiliate equity expenses are added back to Adjusted EBITDA. As of December 31, 2022, our bank leverage and bank interest coverage ratios were 1.2x and 10.3x, respectively, and we were in compliance with all of the terms of our credit facilities.</w:t>
      </w:r>
    </w:p>
    <w:p>
      <w:pPr>
        <w:spacing w:after="0" w:line="10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December 31, 2022, we had no outstanding borrowings under the revolver and could borrow all capacity and remain in compliance with our credit facilities.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we had senior notes outstanding, the respective principal terms of which are presented below: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2030</w:t>
            </w:r>
          </w:p>
        </w:tc>
      </w:tr>
      <w:tr>
        <w:trPr>
          <w:trHeight w:val="196"/>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7"/>
                <w:szCs w:val="17"/>
                <w:color w:val="auto"/>
              </w:rPr>
            </w:pPr>
          </w:p>
        </w:tc>
        <w:tc>
          <w:tcPr>
            <w:tcW w:w="1460" w:type="dxa"/>
            <w:vAlign w:val="bottom"/>
          </w:tcPr>
          <w:p>
            <w:pPr>
              <w:jc w:val="right"/>
              <w:ind w:right="415"/>
              <w:spacing w:after="0"/>
              <w:rPr>
                <w:sz w:val="20"/>
                <w:szCs w:val="20"/>
                <w:color w:val="auto"/>
              </w:rPr>
            </w:pPr>
            <w:r>
              <w:rPr>
                <w:rFonts w:ascii="Arial" w:cs="Arial" w:eastAsia="Arial" w:hAnsi="Arial"/>
                <w:sz w:val="14"/>
                <w:szCs w:val="14"/>
                <w:b w:val="1"/>
                <w:bCs w:val="1"/>
                <w:color w:val="auto"/>
              </w:rPr>
              <w:t>Senior Notes</w:t>
            </w: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2020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3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3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August 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2030</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Semi-annually</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3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Any time</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Subordinated Notes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we had junior subordinated notes outstanding, the respective principal terms of which are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2061</w:t>
            </w:r>
          </w:p>
        </w:tc>
      </w:tr>
      <w:tr>
        <w:trPr>
          <w:trHeight w:val="192"/>
        </w:trPr>
        <w:tc>
          <w:tcPr>
            <w:tcW w:w="564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Junior Subordinated Notes</w:t>
            </w: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2021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2059</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2060</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2061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42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3"/>
              </w:rPr>
              <w:t>5.875 %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2026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Listing</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NYSE</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Convertible Securities</w:t>
      </w:r>
    </w:p>
    <w:p>
      <w:pPr>
        <w:spacing w:after="0" w:line="14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December 31, 2022, we had $341.7 million of principal outstanding in our 5.15% junior convertible trust preferred securities outstanding (the “junior convertible securities”) maturing in 2037. The junior convertible securities were issued by AMG Capital Trust II, a Delaware statutory trust, in October 2007. Each of the junior convertible securities represents an undivided beneficial interest in the assets of the trust. The trust’s only assets are junior subordinated convertible debentures issued to it by us, and have substantially the same payment terms as the junior convertible securities. We own all of the trust’s common securities, and have fully and unconditionally guaranteed, on a subordinated basis, the payment obligations on the junior convertible securities. We do not consolidate the trust’s financial results into our Consolidated Financial Statements.</w:t>
      </w:r>
    </w:p>
    <w:p>
      <w:pPr>
        <w:spacing w:after="0" w:line="11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Holders of the junior convertible securities have no rights to put these securities to us. Upon conversion, holders will receive cash or shares of our common stock, or a combination thereof, at our election. We may redeem the junior convertible securities, subject to our stock trading at or above certain specified levels over specified times periods, and may also repurchase junior convertible securities in the open market or in privately negotiated transactions from time to time at management’s discretion. The junior convertible securities are considered contingent payment debt instruments under federal income tax regulations, which require us to deduct interest in an amount greater than our reported interest expense. We estimate that these deductions will generate annual deferred tax liabilities of approximately $8 million. During the years ended December 31, 2021 and 2022, we repurchased a portion of our junior convertible securities for a purchase price of $33.0 million and $60.9 million, respectively, and as a result of these repurchases, we also reduced our Deferred income tax liability (net) by $7.0 million and $11.4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58"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the second quarter of 2022, we entered into equity distribution and forward equity agreements with several major securities firms under which we may, from time to time, issue and sell shares of our common stock (immediately or on a forward basis) having an aggregate sales price of up to</w:t>
      </w:r>
    </w:p>
    <w:p>
      <w:pPr>
        <w:ind w:right="180"/>
        <w:spacing w:after="0" w:line="260" w:lineRule="auto"/>
        <w:rPr>
          <w:sz w:val="20"/>
          <w:szCs w:val="20"/>
          <w:color w:val="auto"/>
        </w:rPr>
      </w:pPr>
      <w:r>
        <w:rPr>
          <w:rFonts w:ascii="Arial" w:cs="Arial" w:eastAsia="Arial" w:hAnsi="Arial"/>
          <w:sz w:val="18"/>
          <w:szCs w:val="18"/>
          <w:color w:val="auto"/>
        </w:rPr>
        <w:t>$500.0 million (the “equity distribution program”). This equity distribution program superseded and replaced our prior equity distribution program. As of December 31, 2022, no sales had occurred under the equity distribution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of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Contingent Commitments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4 and 8 of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December 31, 2022, our lease obligations were $40.4 million through 2023, $73.3 million from 2024 through 2025, $44.9 million from 2026 through 2027, and $85.9 million thereafter. The portion of these lease obligations attributable to the controlling interest were $11.0 million through 2023, $20.1 million from 2024 through 2025, $6.4 million from 2026 through 2027, and $9.8 million thereafter. See Note 11 of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6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spacing w:after="0" w:line="1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are our critical accounting estimates and judgments used in the preparation of our Consolidated Financial Statements, and due to their subjectivity, actual results could differ materially from the amounts reported.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158"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68"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obligations, when we issue or purchase Affiliate equity interests and when we test our goodwill, indefinite- and definite-lived acquired client relationships, or equity method investments for impairment.</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determining fair values that reflect our own assumptions concerning unobservable inputs, we typically use valuation techniques, including probability-weighted discounted cash flow analyses and Monte Carlo simulations, where we make assumptions about growth rates of assets under management, client attrition, asset- and performance-based fee rates, and expenses. In these analyses, we also consider historical and current market multiples, tax benefits, credit risk, interest rates, tax rates, discount rates, volatility, and discounts for lack of marketability. We consider the reasonableness of our assumptions by comparing our valuation conclusions to observed market transactions and, in certain instances, by consulting with third-party valuation firms. Changes in the assumptions used could significantly impact fair values.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4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Goodwill represents the future economic benefits arising from assets acquired in a business combination that are not separately recognized. We perform a qualitative impairment assessment at least annually to determine if the carrying value of our single reporting unit is in excess of its fair value. In this qualitative assessment, we typically measure the excess of the fair value of our reporting unit over its carrying value using various qualitative and quantitative factors (including our market capitalization and market multiples for asset management businesses). If there is an indication that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w:t>
      </w:r>
    </w:p>
    <w:p>
      <w:pPr>
        <w:spacing w:after="0" w:line="11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completed our annual goodwill impairment assessment as of September 30, 2022 and no impairment was indicated. Based on our assessment, the fair value of our reporting unit was substantially greater than its respective carrying amount, including goodwill.</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Acquired Client Relationships</w:t>
      </w:r>
    </w:p>
    <w:p>
      <w:pPr>
        <w:spacing w:after="0" w:line="14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Indefinite-lived acquired client relationships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11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perform indefinite-lived acquired client relationship impairment assessments annually, or more frequently should circumstances indicate fair value has declined below the related carrying value. For purposes of our assessments, we consider various qualitative and quantitative factors (including market multiples) and determine if it is more-likely-than-not that the fair value of each asset group is greater than its carrying amount. If we determine that it is likely that the fair value has declined below our related carrying value, we perform discounted cash flow analyses to determine the fair value of the asset group and record an expense in Intangible amortization and impairments to reduce the carrying value to its fair value.</w:t>
      </w:r>
    </w:p>
    <w:p>
      <w:pPr>
        <w:spacing w:after="0" w:line="10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year ended December 31, 2022, we completed our annual assessment of our other indefinite-lived acquired client relationships and only a significant decline in the fair values of these assets would result in an impairment.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Definite-Lived Acquired Client Relationships</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Definite-lived acquired client relationships include investment advisory contracts between our Affiliates and their underlying investors, and are amortized over their expected period of economic benefit. Significant judgment is required to estimate the period that these assets will contribute to our cash flows and the pattern over which these assets will provide an economic benefit. Formally, on an annual basis, or more frequently should client attrition trends warrant a potential revision, we review historical and projected attrition rates and other events that may influence our projections of the future period of economic benefit that we will derive from these relationships. Changes in the expected period of economic benefit of these assets may warrant changes in the period over which the assets are amortized.</w:t>
      </w:r>
    </w:p>
    <w:p>
      <w:pPr>
        <w:spacing w:after="0" w:line="1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perform definite-lived acquired client relationship impairment assessments annually, or more frequently should client attrition trends indicate fair value has declined below the related carrying value. If we determine that the fair value has declined below our related carrying value, an expense is recorded in Intangible amortization and impairments to reduce the carrying value to its fair value. We assess each of our definite-lived acquired client relationships for impairment by comparing their carrying value to the projected undiscounted cash flows of the acquired client relationships.</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year ended December 31, 2022, we completed our annual assessment and noted that projected undiscounted cash flows over the remaining life of each of these assets exceed their carrying value and, accordingly, no impairments were identified.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 in Affiliates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periodically perform assessments to determine if the fair value of an investment may have declined below its related carrying value for our Affiliates accounted for under the equity method for a period that we consider to be other-than-temporary. Where we believe that such declines may have occurred, we determine the amount of impairment using valuation methods, such as discounted cash flow analyses. Impairments are recorded as an expense in Equity method income (loss) (net) to reduce the carrying value of the Affiliate to its fair value.</w:t>
      </w:r>
    </w:p>
    <w:p>
      <w:pPr>
        <w:spacing w:after="0" w:line="106"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When we test our equity method investments for impairment, we make assumptions about growth rates of projected assets under management, client attrition, asset- and performance-based fees, and expenses. In these analyses, we also make judgments about tax benefits, tax rates, and discount rates. We consider the reasonableness of our assumptions by comparing our valuation conclusions to observed market transactions, comparable company valuations, and, in certain instances, by consulting with third-party valuation firms. Changes in these assumptions could significantly impact the respective fair value of an Affiliate.</w:t>
      </w:r>
    </w:p>
    <w:p>
      <w:pPr>
        <w:spacing w:after="0" w:line="12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the year ended December 31, 2022, we recorded a $50.0 million expense to reduce the carrying value of an Affiliate to fair value. See Note 10 of our Consolidated Financial Statements.</w:t>
      </w:r>
    </w:p>
    <w:p>
      <w:pPr>
        <w:spacing w:after="0" w:line="10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year ended December 31, 2022, we completed our annual assessment of our other investments in Affiliates accounted for under the equity method and no other impairments were identified.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our Affiliates are subject to income taxes in the U.S. and certain foreign jurisdictions. Our income tax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liabilities, and liabilities for unrecognized tax benefits reflect management’s best estimate of current and future taxes to be paid.</w:t>
      </w:r>
    </w:p>
    <w:p>
      <w:pPr>
        <w:spacing w:after="0" w:line="16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recorded in Income tax expense in the Consolidated Statement of Income in the period in which the change in tax rates is enacted.</w:t>
      </w:r>
    </w:p>
    <w:p>
      <w:pPr>
        <w:spacing w:after="0" w:line="90"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Our principal deferred tax assets relate to deferred compensation, state and foreign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utilized to adjust the carrying values of deferred tax assets to the amount that is more-likely-than-not to be realized.</w:t>
      </w:r>
    </w:p>
    <w:p>
      <w:pPr>
        <w:spacing w:after="0" w:line="9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of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 and Affiliate Equity</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share-based compensation arrangements covering directors, senior management, and employees. Our share-based compensation arrangements typically vest and become fully exercisable over three to five years of continued employment and, in some cases, may require the satisfaction of certain performance conditions.</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determine the fair value of our share-based compensation arrangements on their grant date and record compensation expense based on the number of awards expected to vest. For restricted stock units, we determine the fair value of the units using our share price on the date of grant and the number of shares expected to vest. For stock options, we estimate the fair value using the Black-Scholes option pricing model, which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 For certain of our awards with performance conditions, the number of restricted stock units or stock options expected to vest may change over time depending upon the performance level achieved.</w:t>
      </w:r>
    </w:p>
    <w:p>
      <w:pPr>
        <w:spacing w:after="0" w:line="9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For share-based compensation arrangements without performance conditions, we recognize expense based on the number of awards expected to vest on a straight-line basis over the requisite service period, including grants that are subject to graded vesting. For all other arrangements, we recognize expense based on the number of awards expected to vest on a straight-line basis for each separately vesting portion of the award.</w:t>
      </w:r>
    </w:p>
    <w:p>
      <w:pPr>
        <w:spacing w:after="0" w:line="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time to time, we grant equity interests in our Affiliates to consolidated Affiliate partners and other parties, with vesting, forfeiture, and repurchase terms established at the date of grant. The fair value of the equity interests is determined as of the date of grant using a discounted cash flow analysis. Key valuation assumptions include projected assets under management, asset- and performance-based fees, tax rates, discount rates, and discounts for lack of marketability. The use of different assumptions could change the value of these interests, including the amount of compensation expense, if any, that we may report upon their transfer or repurchase.</w:t>
      </w:r>
    </w:p>
    <w:p>
      <w:pPr>
        <w:spacing w:after="0" w:line="10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Redeemable non-controlling interests represent the currently redeemable value of Affiliate equity interests. We may pay for these Affiliate equity purchases in cash, shares of our common stock, or other forms of consideration, at our election.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16, 17, and 18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 Market Price Risk</w:t>
      </w:r>
    </w:p>
    <w:p>
      <w:pPr>
        <w:spacing w:after="0" w:line="15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Consolidated revenue and equity method revenue are derived primarily from asset-based fees that are typically determined as a percentage of the value of a client’s assets under management. Such values are affected by changes in financial markets (including declines in the capital markets, fluctuations in foreign currency exchange rates, inflation rates or the yield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curve, and other market factors) and, accordingly, declines in the financial markets may negatively impact our Consolidated revenue and equity method revenue.</w:t>
      </w:r>
    </w:p>
    <w:p>
      <w:pPr>
        <w:spacing w:after="0" w:line="89"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As of December 31, 2022, we estimate a proportional 1% change in the value of our assets under management would have resulted in a $16.9 million annualized change in asset-based fees in Consolidated revenue for our consolidated Affiliates and a $13.5 million annualized change in asset-based fees in equity method revenue for our Affiliates accounted for under the equity method. This proportional increase or decrease excludes assets under management on which asset-based fees are charged on committed capital.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58" w:lineRule="exact"/>
        <w:rPr>
          <w:sz w:val="20"/>
          <w:szCs w:val="20"/>
          <w:color w:val="auto"/>
        </w:rPr>
      </w:pPr>
    </w:p>
    <w:p>
      <w:pPr>
        <w:jc w:val="both"/>
        <w:ind w:right="60" w:firstLine="324"/>
        <w:spacing w:after="0" w:line="291" w:lineRule="auto"/>
        <w:rPr>
          <w:sz w:val="20"/>
          <w:szCs w:val="20"/>
          <w:color w:val="auto"/>
        </w:rPr>
      </w:pPr>
      <w:r>
        <w:rPr>
          <w:rFonts w:ascii="Arial" w:cs="Arial" w:eastAsia="Arial" w:hAnsi="Arial"/>
          <w:sz w:val="16"/>
          <w:szCs w:val="16"/>
          <w:color w:val="auto"/>
        </w:rPr>
        <w:t>We have fixed rates of interest on our senior notes, junior subordinated notes, and junior convertible securities. While a change in market interest rates would not affect the interest expense incurred on our fixed rate securities, such a change may affect the fair value of these securities. We estimate that a</w:t>
      </w:r>
    </w:p>
    <w:p>
      <w:pPr>
        <w:spacing w:after="0" w:line="292" w:lineRule="auto"/>
        <w:rPr>
          <w:sz w:val="20"/>
          <w:szCs w:val="20"/>
          <w:color w:val="auto"/>
        </w:rPr>
      </w:pPr>
      <w:r>
        <w:rPr>
          <w:rFonts w:ascii="Arial" w:cs="Arial" w:eastAsia="Arial" w:hAnsi="Arial"/>
          <w:sz w:val="16"/>
          <w:szCs w:val="16"/>
          <w:color w:val="auto"/>
        </w:rPr>
        <w:t>1% change in interest rates would have resulted in a $112.8 million net change in the fair value of our fixed rate securities as of December 31, 2022. We pay a variable rate of interest on our credit facilities at specified rates, based either on an applicable term-SOFR plus a SOFR adjustment of 0.10% or prime rate, plus a marginal rate determined based on our credit rating. As of December 31, 2022, the interest rate for our outstanding borrowings under the term loan was term-SOFR plus a SOFR adjustment of 0.10%, plus the marginal rate of 0.85%. We estimate that a 1% change in interest rates would have changed our annual interest expense on the outstanding balances under our credit facilities by $3.5 million, as of December 31,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Risk</w:t>
      </w:r>
    </w:p>
    <w:p>
      <w:pPr>
        <w:spacing w:after="0" w:line="158"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functional currency of most of our Affiliates is the U.S. dollar. Certain of our Affiliates have the pound sterling or the Canadian dollar as their functional currency, and are, therefore, impacted by movements in pound sterling and Canadian dollar to U.S. dollar foreign currency exchange rates. In addition, the valuations of our foreign Affiliates with a non-U.S. dollar functional currency change based on fluctuations in foreign currency exchange rates, among other factors. Changes due to fluctuations in foreign currency exchange rates are recorded as a component of stockholders’ equity.</w:t>
      </w:r>
    </w:p>
    <w:p>
      <w:pPr>
        <w:spacing w:after="0" w:line="9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To illustrate the effect of possible changes in foreign currency exchange rates, we estimate a 1% change in the pound sterling and Canadian dollar to U.S. dollar exchange rates would have resulted in a $9.2 million and $2.0 million change to stockholders’ equity, respectively, based on the December 31, 2022 carrying value of Affiliates whose functional currency is the pound sterling or the Canadian dollar, and of our and our Affiliates’ pound sterling-denominated derivative financial instruments. For the year ended December 31, 2022, we estimate a 1% change in the pound sterling and the Canadian dollar to U.S. dollar exchange rates would have resulted in $1.1 million and $0.0 million in annual changes to Income before income taxes (controlling interest), respectively.</w:t>
      </w:r>
    </w:p>
    <w:p>
      <w:pPr>
        <w:spacing w:after="0" w:line="11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are exposed to fluctuations in the Swedish krona as it relates to our EQT ordinary shares. As of December 31, 2022, we estimate a 1% change in the Swedish krona to U.S dollar exchange rate would result in a $4.3 million change to Income before income taxes (controlling interest).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Risk</w:t>
      </w:r>
    </w:p>
    <w:p>
      <w:pPr>
        <w:spacing w:after="0" w:line="15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From time to time, we and our Affiliates seek to offset exposure to changes in interest rates, foreign currency exchange rates, and markets by entering into derivative financial instruments. There can be no assurance that our or our Affiliates’ derivative financial instruments will meet their overall objective or that we or our Affiliates will be successful in entering into such instruments in the future.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1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spacing w:after="0" w:line="1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December 31, 2022,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has determined that the Company’s internal control over financial reporting as of December 31, 2022 was effective.</w:t>
      </w:r>
    </w:p>
    <w:p>
      <w:pPr>
        <w:spacing w:after="0" w:line="11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Company’s internal control over financial reporting as of December 31, 2022 has been audited by PricewaterhouseCoopers LLP (PCAOB ID 238),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360" w:firstLine="3364"/>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Affiliated Managers Group, Inc. </w:t>
      </w:r>
      <w:r>
        <w:rPr>
          <w:rFonts w:ascii="Arial" w:cs="Arial" w:eastAsia="Arial" w:hAnsi="Arial"/>
          <w:sz w:val="18"/>
          <w:szCs w:val="18"/>
          <w:b w:val="1"/>
          <w:bCs w:val="1"/>
          <w:i w:val="1"/>
          <w:iCs w:val="1"/>
          <w:color w:val="auto"/>
        </w:rPr>
        <w:t>Opinions on the Financial Statements and Internal Control over Financial Reporting</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Affiliated Managers Group, Inc. and its affiliates (the “Company”) as of December 31, 2022 and 2021, and the related consolidated statements of income, of comprehensive income, of changes in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Measurement for Equity Method Investment in Affiliate</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described in Notes 1 and 10 to the consolidated financial statements, the Company’s equity method investments in affiliates balance was $2,139.5 million as of December 31, 2022. Management periodically evaluates its equity method investments in affiliates for impairment by performing assessments to determine if fair value may have declined below related carrying value for a period that they consider to be other-than-temporary. For the year ended December 31, 2022, management concluded that due to a decline in assets under management and a reduction in projected margin that there was a $50.0 million impairment to reduce the carrying value of an affiliate to fair value. The fair value of the investment was determined using probability-weighted discounted cash flow analyses that require assumptions such as growth rates of assets under management and discount rates.</w:t>
      </w:r>
    </w:p>
    <w:p>
      <w:pPr>
        <w:spacing w:after="0" w:line="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measurement for the equity method investment in affiliate is a critical audit matter are (i) the significant judgment by management to evaluate the significant assumptions used in the discounted cash flow analyses to determine the fair value of the investment, which was used to determine the amount that fair value had declined below its related carrying value for a period considered to be other-than-temporary, (ii) a high degree of auditor judgment, subjectivity and effort in performing procedures and evaluating management’s significant assumptions related to the growth rates of assets under management and discount rates used in the impairment measurement, and (iii) the audit effort involved the use of professionals with specialized skill and knowledge.</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measurement for the equity method investment in affiliate, including controls over the discounted cash flow analyses and significant assumptions used to determine the fair value of the equity method investment in affiliate. These procedures also included, among others, testing management’s process for determining the fair value of its equity method investment in affiliate, including evaluating the appropriateness of the discounted cash flow analyses, testing the completeness and accuracy of the underlying data used in the discounted cash flow analyses, and evaluating the reasonableness of the significant assumptions used by management in developing the fair value measurement related to the growth rates of assets under management and discount rates. The reasonableness of the growth rates of assets under management was evaluated by considering (i) the consistency with external market and industry data, (ii) the consistency with past performance of the affiliate, and (iii) whether the growth rates were consistent with evidence obtained in other areas of the audit. The reasonableness of the discount rate assumption was evaluated by considering the cost of capital of comparable businesses and other industry factors. Professionals with specialized skill and knowledge were used to assist in the evaluation of the discount rates used to determine whether the fair value of the equity method investment had declined below its carrying value for a period considered to be other-than-temporary.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Compensation and related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1,071.5</w:t>
            </w:r>
          </w:p>
        </w:tc>
      </w:tr>
      <w:tr>
        <w:trPr>
          <w:trHeight w:val="230"/>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consolidated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1,673.5</w:t>
            </w:r>
          </w:p>
        </w:tc>
      </w:tr>
      <w:tr>
        <w:trPr>
          <w:trHeight w:val="250"/>
        </w:trPr>
        <w:tc>
          <w:tcPr>
            <w:tcW w:w="7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Equity method income (loss)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BPEA Transaction gain (Note 10)</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and other income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1,388.1</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(non-controlling 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loss on available-for-sale debt securities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(non-controlling 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Acquired client relationships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in Affiliates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and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liability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($0.01 par value, 153.0 shares authorized; 58.5 shares issued in 2021 and 2022)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6,210.9</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Treasury stock, at cost (18.3 shares in 2021 and 22.7 shares in 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3,230.3</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4,175.6</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2"/>
              </w:rPr>
              <w:t>Total Stockholders’ Equity</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center"/>
              <w:ind w:right="18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3"/>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at</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7"/>
                <w:szCs w:val="17"/>
                <w:color w:val="auto"/>
              </w:rPr>
            </w:pPr>
          </w:p>
        </w:tc>
        <w:tc>
          <w:tcPr>
            <w:tcW w:w="228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3,819.8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(1,481.3)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3,499.1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427.0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(430.0)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($0.35 per share)</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tcPr>
          <w:p>
            <w:pPr>
              <w:ind w:left="140"/>
              <w:spacing w:after="0" w:line="143" w:lineRule="exact"/>
              <w:rPr>
                <w:sz w:val="20"/>
                <w:szCs w:val="20"/>
                <w:color w:val="auto"/>
              </w:rPr>
            </w:pPr>
            <w:r>
              <w:rPr>
                <w:rFonts w:ascii="Arial" w:cs="Arial" w:eastAsia="Arial" w:hAnsi="Arial"/>
                <w:sz w:val="14"/>
                <w:szCs w:val="14"/>
                <w:color w:val="auto"/>
                <w:w w:val="98"/>
              </w:rPr>
              <w:t>Changes in redemption value of Redeemable non-controlling</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(59.4)</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4,005.5</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 (1,857.0)</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3,317.3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565.7</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junior convertible securities</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(509.9)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($0.04 per share)</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Investments in Affiliates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Purchases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8"/>
              </w:rPr>
              <w:t>Changes in redemption value of Redeemable non-controlling</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(334.3)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4,569.5</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(2,347.4)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3,710.6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4"/>
                <w:szCs w:val="14"/>
                <w:color w:val="auto"/>
                <w:w w:val="96"/>
              </w:rPr>
              <w:t>Impact of adoption of new accounting standards (ASU 2020-06)</w:t>
            </w:r>
          </w:p>
        </w:tc>
        <w:tc>
          <w:tcPr>
            <w:tcW w:w="1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48"/>
              <w:spacing w:after="0"/>
              <w:rPr>
                <w:sz w:val="20"/>
                <w:szCs w:val="20"/>
                <w:color w:val="auto"/>
              </w:rPr>
            </w:pPr>
            <w:r>
              <w:rPr>
                <w:rFonts w:ascii="Arial" w:cs="Arial" w:eastAsia="Arial" w:hAnsi="Arial"/>
                <w:sz w:val="18"/>
                <w:szCs w:val="18"/>
                <w:color w:val="auto"/>
                <w:w w:val="99"/>
              </w:rPr>
              <w:t>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90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Common stock issued under share-based incentive plans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Share repurchases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Dividends ($0.04 per share)</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4"/>
                <w:szCs w:val="14"/>
                <w:color w:val="auto"/>
              </w:rPr>
              <w:t>Affiliate equity activity:</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20"/>
              <w:spacing w:after="0"/>
              <w:rPr>
                <w:sz w:val="20"/>
                <w:szCs w:val="20"/>
                <w:color w:val="auto"/>
              </w:rPr>
            </w:pPr>
            <w:r>
              <w:rPr>
                <w:rFonts w:ascii="Arial" w:cs="Arial" w:eastAsia="Arial" w:hAnsi="Arial"/>
                <w:sz w:val="14"/>
                <w:szCs w:val="14"/>
                <w:color w:val="auto"/>
              </w:rPr>
              <w:t>Affiliate equity compensation</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20"/>
              <w:spacing w:after="0"/>
              <w:rPr>
                <w:sz w:val="20"/>
                <w:szCs w:val="20"/>
                <w:color w:val="auto"/>
              </w:rPr>
            </w:pPr>
            <w:r>
              <w:rPr>
                <w:rFonts w:ascii="Arial" w:cs="Arial" w:eastAsia="Arial" w:hAnsi="Arial"/>
                <w:sz w:val="14"/>
                <w:szCs w:val="14"/>
                <w:color w:val="auto"/>
              </w:rPr>
              <w:t>Issuances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20"/>
              <w:spacing w:after="0"/>
              <w:rPr>
                <w:sz w:val="20"/>
                <w:szCs w:val="20"/>
                <w:color w:val="auto"/>
              </w:rPr>
            </w:pPr>
            <w:r>
              <w:rPr>
                <w:rFonts w:ascii="Arial" w:cs="Arial" w:eastAsia="Arial" w:hAnsi="Arial"/>
                <w:sz w:val="14"/>
                <w:szCs w:val="14"/>
                <w:color w:val="auto"/>
              </w:rPr>
              <w:t>Purchases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120"/>
              <w:spacing w:after="0"/>
              <w:rPr>
                <w:sz w:val="20"/>
                <w:szCs w:val="20"/>
                <w:color w:val="auto"/>
              </w:rPr>
            </w:pPr>
            <w:r>
              <w:rPr>
                <w:rFonts w:ascii="Arial" w:cs="Arial" w:eastAsia="Arial" w:hAnsi="Arial"/>
                <w:sz w:val="14"/>
                <w:szCs w:val="14"/>
                <w:color w:val="auto"/>
                <w:w w:val="99"/>
              </w:rPr>
              <w:t>Changes in redemption value of Redeemable non-controlling</w:t>
            </w:r>
          </w:p>
        </w:tc>
        <w:tc>
          <w:tcPr>
            <w:tcW w:w="2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1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00" w:type="dxa"/>
            <w:vAlign w:val="bottom"/>
          </w:tcPr>
          <w:p>
            <w:pPr>
              <w:ind w:left="120"/>
              <w:spacing w:after="0"/>
              <w:rPr>
                <w:sz w:val="20"/>
                <w:szCs w:val="20"/>
                <w:color w:val="auto"/>
              </w:rPr>
            </w:pPr>
            <w:r>
              <w:rPr>
                <w:rFonts w:ascii="Arial" w:cs="Arial" w:eastAsia="Arial" w:hAnsi="Arial"/>
                <w:sz w:val="14"/>
                <w:szCs w:val="14"/>
                <w:color w:val="auto"/>
              </w:rPr>
              <w:t>Transfers to Redeemable non-controlling interests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20"/>
              <w:spacing w:after="0"/>
              <w:rPr>
                <w:sz w:val="20"/>
                <w:szCs w:val="20"/>
                <w:color w:val="auto"/>
              </w:rPr>
            </w:pPr>
            <w:r>
              <w:rPr>
                <w:rFonts w:ascii="Arial" w:cs="Arial" w:eastAsia="Arial" w:hAnsi="Arial"/>
                <w:sz w:val="14"/>
                <w:szCs w:val="14"/>
                <w:color w:val="auto"/>
              </w:rPr>
              <w:t>Capital contributions and other</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604329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604329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604329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604329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604329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6043295"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4329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604329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432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604329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432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1,145.9</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242.2</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1,388.1</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(115.5)</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62.4</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3"/>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(38.6)</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3"/>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(45.0)</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405"/>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3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3"/>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(12.2)</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338"/>
        </w:trPr>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145.8</w:t>
            </w:r>
          </w:p>
        </w:tc>
        <w:tc>
          <w:tcPr>
            <w:tcW w:w="3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3"/>
        </w:trPr>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26"/>
        </w:trPr>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w w:val="91"/>
              </w:rPr>
              <w:t>695.5</w:t>
            </w: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80" w:type="dxa"/>
            <w:vAlign w:val="bottom"/>
          </w:tcPr>
          <w:p>
            <w:pPr>
              <w:ind w:left="240"/>
              <w:spacing w:after="0"/>
              <w:rPr>
                <w:sz w:val="20"/>
                <w:szCs w:val="20"/>
                <w:color w:val="auto"/>
              </w:rPr>
            </w:pPr>
            <w:r>
              <w:rPr>
                <w:rFonts w:ascii="Arial" w:cs="Arial" w:eastAsia="Arial" w:hAnsi="Arial"/>
                <w:sz w:val="14"/>
                <w:szCs w:val="14"/>
                <w:color w:val="auto"/>
                <w:w w:val="94"/>
              </w:rPr>
              <w:t>(203.4)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$ 5,718.2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 (2,980.6)</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945.3</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$ 4,175.6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-7620</wp:posOffset>
            </wp:positionV>
            <wp:extent cx="454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40"/>
            <w:col w:w="5179"/>
          </w:cols>
          <w:pgMar w:left="320" w:top="125" w:right="1440" w:bottom="1440" w:gutter="0" w:footer="0" w:header="0"/>
          <w:type w:val="continuous"/>
        </w:sectPr>
      </w:pPr>
    </w:p>
    <w:p>
      <w:pPr>
        <w:spacing w:after="0" w:line="15"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8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427.0</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890.1</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1,388.1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cash flow from (used in)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Intangible amortization and impairments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other amortization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Deferred income tax expense</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method loss (income) (net)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BPEA Transaction gain</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(641.9)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Distributions of earnings received from equity method investments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Share-based compensation and Affiliate equity expense</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realized and unrealized gains on investment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Purchases of securities by consolidated Affiliate sponsored investment products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of securities by consolidated Affiliate sponsored investment products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Decrease in receivables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other assets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(Decrease) increase in payables, accrued liabilities, and other liabilities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1,054.7</w:t>
            </w:r>
          </w:p>
        </w:tc>
        <w:tc>
          <w:tcPr>
            <w:tcW w:w="0" w:type="dxa"/>
            <w:vAlign w:val="bottom"/>
          </w:tcPr>
          <w:p>
            <w:pPr>
              <w:spacing w:after="0"/>
              <w:rPr>
                <w:sz w:val="1"/>
                <w:szCs w:val="1"/>
                <w:color w:val="auto"/>
              </w:rPr>
            </w:pPr>
          </w:p>
        </w:tc>
      </w:tr>
      <w:tr>
        <w:trPr>
          <w:trHeight w:val="171"/>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 from (used in) investing activities:</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Investments in Affiliates, net of cash acquired</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the BPEA Transaction and return of capital from equity method investments</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fixed assets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Purchase of investment securities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investment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Cash flow used in investing activities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(583.7)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Borrowings of senior bank debt, senior notes, and junior subordinated notes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senior bank debt and junior convertible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Repurchase of common stock (net)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(713.8)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paid on common stock</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Affiliate equity purchases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Affiliate equity issuances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Subscriptions to consolidated Affiliate sponsored investment products, net of redemptions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Settlement of deferred payments, net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financing items</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76"/>
        </w:trPr>
        <w:tc>
          <w:tcPr>
            <w:tcW w:w="7940" w:type="dxa"/>
            <w:vAlign w:val="bottom"/>
          </w:tcPr>
          <w:p>
            <w:pPr>
              <w:ind w:left="220"/>
              <w:spacing w:after="0"/>
              <w:rPr>
                <w:sz w:val="20"/>
                <w:szCs w:val="20"/>
                <w:color w:val="auto"/>
              </w:rPr>
            </w:pPr>
            <w:r>
              <w:rPr>
                <w:rFonts w:ascii="Arial" w:cs="Arial" w:eastAsia="Arial" w:hAnsi="Arial"/>
                <w:sz w:val="14"/>
                <w:szCs w:val="14"/>
                <w:color w:val="auto"/>
              </w:rPr>
              <w:t>Cash flow used in financing activities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(1,402.9)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Effect of foreign currency exchange rate changes on cash and cash 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Effect of (deconsolidation) consolidation of Affiliates and Affiliate sponsored investment products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Income taxes paid (refunds received), net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liabilities paid</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Payables recorded for investments in Affiliates and contingent payment obligations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Stock issued upon vesting of restricted stock units and exercise of stock options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Right-of-use assets obtained in exchange for new operating leases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Stock received for tax withholdings on share-based payments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Payables recorded for share repurchases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Payables recorded for Affiliate equity purchases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EQT ordinary shares received from BPEA Transaction</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Other investments from BPEA Transaction</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00"/>
          </w:cols>
          <w:pgMar w:left="320" w:top="125" w:right="379"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2"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14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Affiliated Managers Group, Inc. (“AMG” or the “Company”) is a leading partner to independent investment management firms globally. AMG’s strategy is to generate long-term value by investing in a diverse array of high-quality partner-owned investment firms, referred to as “Affiliates.” The Company’s Affiliates provide a comprehensive and diverse range of differentiated investment strategies designed to assist institutional and wealth clients worldwide in achieving their investment objectives. The Company operates in one segment, global investment management.</w:t>
      </w:r>
    </w:p>
    <w:p>
      <w:pPr>
        <w:spacing w:after="0" w:line="10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For a majority of Affiliates, the Company uses structured partnership interests in which the Company contractually shares in the Affiliate’s revenue without regard to expenses. In this type of structured partnership interest, the Affiliate allocates a specified percentage of its revenue to the Company and Affiliate management, while using the remainder of its revenue for operating expenses and for additional distributions to Affiliate management. The Company and Affiliate management, therefore, participate in any increase or decrease in revenue and only Affiliate management participates in any increase or decrease in expenses. Under these structured partnership interests, the Company’s contractual share of revenue generally has priority over distributions to Affiliate management. For other Affiliates, the Company uses structured partnership interests in which the Company contractually shares in the Affiliate’s revenue less agreed-upon expenses. This type of partnership interest allows the Company to benefit from any increase in revenue or any decrease in the agreed-upon expenses, but also exposes the Company to any decrease in revenue or any increase in such agreed-upon expenses. The degree of the Company’s exposure to agreed-upon expenses from these structured partnership interests varies by Affiliate, and includes several Affiliates in which the Company fully shares in the expenses of the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 and Use of Estimates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Consolidated Financial Statements of the Company have been prepared in accordance with accounting principles generally accepted in the U.S. (“GAAP”). All dollar amounts, except per share data in the text and tables herein, are stated in millions unless otherwise indicated. All intercompany balances and transactions have been eliminated. Certain reclassifications have been made to the prior period’s financial statements to conform to the current period’s presentation.</w:t>
      </w:r>
    </w:p>
    <w:p>
      <w:pPr>
        <w:spacing w:after="0" w:line="11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VREs when it has control over significant operating, financial, and investing decisions of the entity. When the Company lacks such control, but is deemed to have significant influence, the Company accounts for the VRE under the equity method. Investments with readily determinable fair values in which the Company does not have rights to exercise significant influence are recorded at fair value on the Consolidated Balance Sheets, with changes in fair value included in Investment and other income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 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 See Note 5.</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58"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When an Affiliate is consolidated, the portion of the earnings attributable to Affiliate management’s and any co-investor’s equity ownership is included in Net income (non-controlling interests) in the Consolidated Statements of Income. Undistributed earnings attributable to Affiliate management’s and any co-investor’s equity ownership,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or Other liabilities on the Consolidated Balance Sheets. The Company periodically issues, sells, and purchases the equity of its consolidated Affiliates. Because these transactions take place between entities under common control, any gains or losses attributable to these transactions are required to be included in Additional paid-in capital on the Consolidated Balance Sheets, net of any related income tax effects in the period the transaction occurs.</w:t>
      </w:r>
    </w:p>
    <w:p>
      <w:pPr>
        <w:spacing w:after="0" w:line="9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When an Affiliate is accounted for under the equity method, the Company’s share of an Affiliate’s earnings or losses, net of amortization and impairments, is included in Equity method income (loss) (net) in the Consolidated Statements of Income and the carrying value of the Affiliate is reported in Equity method investments in Affiliates (net) in the Consolidated Balance Sheets. Deferred taxes recorded on intangible assets upon acquisition of an Affiliate accounted for under the equity method are presented on a gross basis within Equity method investments in Affiliates (net) and Deferred income tax liability (net) in the Consolidated Balance Sheets. The Company’s share of income taxes incurred directly by Affiliates accounted for under the equity method is recorded in Income tax expense in the Consolidated Statements of Income.</w:t>
      </w:r>
    </w:p>
    <w:p>
      <w:pPr>
        <w:spacing w:after="0" w:line="110"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periodically performs assessments to determine if fair value of an investment may have declined below its related carrying value for its Affiliates accounted for under the equity method for a period that the Company considers to be other-than-temporary. Where the Company believes that such declines may have occurred, the Company determines the amount of impairment using valuation methods, such as discounted cash flow analyses. Impairments are recorded as an expense in Equity method income (loss) (net) to reduce the carrying value of the Affiliate to its fair value.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4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Company’s Affiliates sponsor various investment products where the Affiliate also acts as the investment adviser. These investment products are typically owned primarily by third-party investors; however, certain products are funded with general partner and seed capital investments from the Company and its Affiliates.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Third-party investors in Affiliate sponsored investment products are generally entitled to substantially all of the economics of these products, except for the asset- and performance-based fees earned by the Company’s Affiliates or any gains or losses attributable to the Company’s or its Affiliates’ investments in these products. As a result, the Company generally does not consolidate these products. However, for certain products, the Company’s consolidated Affiliates, as the investment manager, have the power to direct the activities of the investment product and have an exposure to the economics of the VIE that is more than insignificant, though generally only for a short period while the product is established and has yet to attract significant other investors. When the products are consolidated,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included in Investment and other income. Purchases and sales of securities are presented within purchases and sales by consolidated Affiliate sponsored investment products in the Consolidated Statements of Cash Flows, respectively, and the third-party investors’ interests are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Receivables</w:t>
      </w:r>
    </w:p>
    <w:p>
      <w:pPr>
        <w:spacing w:after="0" w:line="15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Company’s Affiliates earn asset- and performance-based fees, which are billed based on the terms of the related contracts. Billed but uncollected asset- and performance-based fees are presented within Receivables on the Consolidated Balance Sheets and are generally short-term in nature.</w:t>
      </w:r>
    </w:p>
    <w:p>
      <w:pPr>
        <w:spacing w:after="0" w:line="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spacing w:after="0" w:line="107" w:lineRule="exact"/>
        <w:rPr>
          <w:sz w:val="20"/>
          <w:szCs w:val="20"/>
          <w:color w:val="auto"/>
        </w:rPr>
      </w:pPr>
    </w:p>
    <w:p>
      <w:pPr>
        <w:ind w:left="340" w:right="8220" w:hanging="332"/>
        <w:spacing w:after="0" w:line="422" w:lineRule="auto"/>
        <w:tabs>
          <w:tab w:leader="none" w:pos="33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i w:val="1"/>
          <w:iCs w:val="1"/>
          <w:u w:val="single" w:color="auto"/>
          <w:color w:val="auto"/>
        </w:rPr>
        <w:t>Equity securities</w:t>
      </w:r>
    </w:p>
    <w:p>
      <w:pPr>
        <w:spacing w:after="0" w:line="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Realized and unrealized gains or losses on investments in equity securities are reported within Investment and other income. Realized gains and losses are recorded on the trade date on a specific identified basis, except for consolidated Affiliate sponsored investment products which use an average cost basis.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securities</w:t>
      </w:r>
    </w:p>
    <w:p>
      <w:pPr>
        <w:spacing w:after="0" w:line="15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Investments in debt securities are classified as either trading, available-for-sale, or held-to-maturity based on the Company’s intent and ability to hold the security to maturity. Securities classified as trading are measured at fair value with unrealized gains and losses reported within Investment and other income. Securities classified as available-for-sale are measured at fair value with unrealized gains and losses reported in Accumulated other comprehensive loss as a separate component of stockholders’ equity on the Consolidated Balance Sheets. Securities classified as held-to-maturity are measured at amortized cost. Realized gains and losses on debt securities are reported within Investment and other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Fair Value Measurements</w:t>
      </w:r>
    </w:p>
    <w:p>
      <w:pPr>
        <w:spacing w:after="0" w:line="14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market prices for identical instruments in active markets;</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or significant value drivers, are observable; and</w:t>
      </w:r>
    </w:p>
    <w:p>
      <w:pPr>
        <w:spacing w:after="0" w:line="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Level 3 - Prices that reflect the Company’s own assumptions concerning unobservable inputs to the valuation model. In these valuation models, the Company is required to make judgments about growth rates of assets under management, client attrition, asset- and performance-based fee rates, and expenses. These valuation models also require judgments about tax benefits, credit risk, interest rates, tax rates, discount rates, volatility, and discounts for lack of marketability. These inputs require significant management judgment and reflect the Company’s assumptions that the Company believes market participants would use in pricing the asset or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Acquired Client Relationships and Goodwill</w:t>
      </w:r>
    </w:p>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0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assesses these assets annually or more frequently whenever events or circumstances occur indicating that the recorded indefinite-lived acquired client relationship may be impaired. Each reporting period, the Company assesses whether events or circumstances have occurred that indicate that the indefinite life criteria are no longer met.</w:t>
      </w:r>
    </w:p>
    <w:p>
      <w:pPr>
        <w:spacing w:after="0" w:line="10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definite-lived assets, including investment advisory contracts between its Affiliates and their underlying investors, and are amortized over their expected period of economic benefit. The expected period of economic benefit of definite-lived acquired client relationships is a judgment based on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assesses for the possible impairment of indefinite- and definite-lived acquired client relationships annually or more frequently whenever events or changes in circumstances indicate that the carrying amount of the asset may not be recoverable. If such indicators exist, the Company considers various qualitative and quantitative factors (including market multiples) to determine if the fair value of each asset is greater than its carrying value. If the carrying value is greater than the fair value, an expense would be recorded in Intangible amortization and impairments in the Consolidated Statements of Income to reduce the carrying value of the asset to fair value.</w:t>
      </w:r>
    </w:p>
    <w:p>
      <w:pPr>
        <w:spacing w:after="0" w:line="10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Goodwill is not amortized, but is instead reviewed for impairment. The Company performs an impairment assessment annually or more frequently whenever events or circumstances occur indicating that the carrying value of its single reporting unit is in excess of its fair value. In this assessment, the Company typically measures the fair value of its reporting unit using various qualitative and quantitative factors (including the Company’s market capitalization and market multiples for asset management businesses). If a potential impairment is more-likely-than-not, then the Company will perform a single step assessment with any excess of carrying value over fair value recorded as an expense in Intangible amortization and impairments.</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Fixed Assets</w:t>
      </w:r>
    </w:p>
    <w:p>
      <w:pPr>
        <w:spacing w:after="0" w:line="15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Fixed assets are recorded at cost and depreciated using the straight-line method over their estimated useful lives. The estimated useful lives of office equipment and furniture and fixtures range from two years to seven years and three years to ten years, respectively. Computer software developed or obtained for internal use is amortized over the estimated useful life of the software, generally two years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spacing w:after="0" w:line="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5"/>
          <w:szCs w:val="15"/>
          <w:i w:val="1"/>
          <w:iCs w:val="1"/>
          <w:color w:val="auto"/>
        </w:rPr>
        <w:t>Leases</w:t>
      </w:r>
    </w:p>
    <w:p>
      <w:pPr>
        <w:spacing w:after="0" w:line="15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Leases are classified as either operating leases or finance leases. The Company and its Affiliates currently lease office space and equipment primarily under operating lease arrangements. As these leases expire, it is expected that, in the normal course of business, they will be renewed or replaced. Whether a lease is classified as an operating lease or a finance lease, the Company and its Affiliates must record a right-of-use asset and a lease liability at the commencement date of the lease, other than for leases with an initial term of 12 months or less. As permitted under Accounting Standard Update (“ASU”) 2016-02 Leases (and related ASUs), the Company and its Affiliates elect not to record short-term leases with an initial lease term less than 12 months on the Company’s Consolidated Balance Sheets. Right-of-use assets and lease liabilities are reported in Other assets and Other liabilities, respectively. A lease liability is initially and subsequently reported at the present value of the outstanding lease payments determined by discounting those lease payments over the remaining lease term using the incremental borrowing rate of the legal entity entering into the lease as of the commencement date. A right-of-use asset is initially reported at the present value of the corresponding lease liability plus any prepaid lease payments and initial direct costs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of entering into the lease, and reduced by any lease incentives. Subsequently, a right-of-use asset is reported at the present value of the lease liability adjusted for any prepaid or accrued lease payments, remaining balances of any lease incentives received, unamortized initial direct costs of entering into the lease and any impairments of the right-of-use asset. The Company and its Affiliates test for possible impairments of right-of-use assets annually or more frequently whenever events or changes in circumstances indicate that the carrying value of a right-of-use asset may exceed its fair value. If the carrying value of the right-of-use asset exceeds its fair value, then the carrying value of the right-of-use asset is reduced to its fair value and the expense is recorded in Other expenses (net) on the Consolidated Statements of Income. Subsequent to an impairment, the carrying value of the right-of-use asset is amortized on a straight-line basis over the remaining lease term.</w:t>
      </w:r>
    </w:p>
    <w:p>
      <w:pPr>
        <w:spacing w:after="0" w:line="9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Lease liabilities and right-of-use assets based on variable lease payments that depend on an index or rate are initially measured using the index or rate at the commencement date with any subsequent changes in variable lease payments reported in Other expenses (net) as incurred. 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Other expenses (net). If a right-of-use asset is impaired, the lease expense is subsequently reported in Other expenses (net) as the straight-line amortization of the right-of-use asset and the accretion of the lease liability, thereby transitioning to a front-loaded expense recognition profile for the associated lease.</w:t>
      </w:r>
    </w:p>
    <w:p>
      <w:pPr>
        <w:spacing w:after="0" w:line="11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and its Affiliates combine lease and non-lease components for their office space leases and separate non-lease components for their equipment leases in calculating their lease liabilities. Sublease income is reported in Investment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Debt</w:t>
      </w:r>
    </w:p>
    <w:p>
      <w:pPr>
        <w:spacing w:after="0" w:line="14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Company’s debt instruments are carried at amortized cost. Unamortized discounts and debt issuance costs associated with its debt instruments, with the exception of the Company’s senior unsecured multicurrency revolving credit facility (the “revolver”), are presented within the Consolidated Balance Sheets as an adjustment to the carrying value of the associated debt. The carrying value of the debt is accreted to the principal amount at maturity over the remaining life of the underlying debt. The accretion of the debt and the amortization of debt issuance costs, are recognized in Interest expense in the Consolidated Statements of Income, using the effective interest method.</w:t>
      </w:r>
    </w:p>
    <w:p>
      <w:pPr>
        <w:spacing w:after="0" w:line="10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Unamortized issuance costs associated with the revolver are recorded in Other assets and amortized over the remaining term of the revolver to Interest expense in the Consolidated Statements of Income.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 and losses on repurchases or settlement of debt are recorded in Interest expense.</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(l)</w:t>
      </w:r>
      <w:r>
        <w:rPr>
          <w:sz w:val="20"/>
          <w:szCs w:val="20"/>
          <w:color w:val="auto"/>
        </w:rPr>
        <w:tab/>
      </w:r>
      <w:r>
        <w:rPr>
          <w:rFonts w:ascii="Arial" w:cs="Arial" w:eastAsia="Arial" w:hAnsi="Arial"/>
          <w:sz w:val="16"/>
          <w:szCs w:val="16"/>
          <w:i w:val="1"/>
          <w:iCs w:val="1"/>
          <w:color w:val="auto"/>
        </w:rPr>
        <w:t>Derivative Financial Instruments</w:t>
      </w:r>
    </w:p>
    <w:p>
      <w:pPr>
        <w:spacing w:after="0" w:line="15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 The Company records derivatives in the Consolidated Balance Sheets at fair value. The Company assesses hedge effectiveness at derivative inception and on a quarterly basis. Changes in fair value of a hedging instrument that are excluded from the assessment of hedge effectiveness, also known as excluded components, are recorded in earnings on a straight-line basis over the respective period of the contracts as a reduction to Interest expense.</w:t>
      </w:r>
    </w:p>
    <w:p>
      <w:pPr>
        <w:spacing w:after="0" w:line="12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For derivative financial instruments designated as cash flow hedges, the Company uses a qualitative method of assessing hedge effectiveness by comparing the notional amounts, timing of payments, currencies (for the forward foreign currency contracts), and interest rates (for the interest rate swap). The effective portion of the unrealized gain or loss is recorded in Other comprehensive income (loss) as a separate component of stockholders’ equity and reclassified to earnings with the hedged item. If the qualitative assessment indicates ineffectiveness, then the Company performs a quantitative assessment which is generally measured by comparing the present value of the cumulative change in the expected future cash flows of the hedged contract with the present value of the cumulative change in the expected future cash flows of the hedged item. Upon termination of these instruments or the repayment of the Company’s outstanding Secured Overnight Financing Rate (“SOFR”)-based borrowings, any gain or loss recorded in Accumulated other comprehensive loss will be reclassified into earnings. Changes in the fair values of cash flow hedges are reported in Change in net realized and unrealized gain (loss) on derivative financial instruments in the Consolidated Statements of Comprehensive Income.</w:t>
      </w:r>
    </w:p>
    <w:p>
      <w:pPr>
        <w:spacing w:after="0" w:line="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net investment hedges, hedge effectiveness is measured using the spot rate method. The effective portion of the unrealized gain or loss is recorded in Other comprehensive income (loss) as a separate component of stockholders’ equity and reclassified to earnings with the hedged item. Changes in the fair values of the effective net investment hedges are reported 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Foreign currency translation gain (loss) in the Consolidated Statements of Comprehensive Income. Upon the sale or liquidation of the underlying investment, any gain or loss remaining in Accumulated other comprehensive loss will be reclassified to earnings.</w:t>
      </w:r>
    </w:p>
    <w:p>
      <w:pPr>
        <w:spacing w:after="0" w:line="8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the Company’s or its Affiliates’ derivative financial instruments do not qualify as effective hedges, changes in the fair value of the derivatives are recorded as a gain or loss in Investment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Revenue Recognition</w:t>
      </w:r>
    </w:p>
    <w:p>
      <w:pPr>
        <w:spacing w:after="0" w:line="1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Consolidated revenue primarily represents asset- and performance-based fees earned by the Company and its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asset-based fees ratably over time. Substantially all the Company’s asset-based fees for services are based on the value of client assets over time, which are typically determined using observable market data. Services may be invoiced in advance or in arrears and are payable upon receipt. Any asset-based fees collected in advance are deferred and recognized as the services are performed and consumed. Consolidated revenue recognized by the Company is adjusted for any expense reimbursement arrangements. The Company’s Affiliates may periodically either waive or reduce fees in order to attract or retain client assets or for other reasons. Fee waivers or reductions are presented as a reduction to Consolidated revenue in the Consolidated Statements of Income.</w:t>
      </w:r>
    </w:p>
    <w:p>
      <w:pPr>
        <w:spacing w:after="0" w:line="10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Performance-based fees, including carried interests, are recognized upon the satisfaction of performance obligations, the resolution of any constraints, which include exceeding performance benchmarks or hurdle rates that may extend over one or more reporting periods, and when it is improbable that there will be a significant reversal in the amount of revenue recognized. As a result, any performance-based fees or carried interest recognized in the current reporting period may relate to performance obligations satisfied in a previous reporting period.</w:t>
      </w:r>
    </w:p>
    <w:p>
      <w:pPr>
        <w:spacing w:after="0" w:line="11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and its Affiliates have contractual arrangements with third-parties to provide distribution-related services. Fees received and expenses incurred under these arrangements are primarily based on the value of client assets over time. Distribution-related fees are presented within Consolidated revenue gross of any related expenses when the Company and its Affiliates are the principal in their role as primary obligor under their distribution-related services arrangements. Distribution-related expenses are presented within Selling, general and administrative expenses in the Consolidated Statements of Income.</w:t>
      </w:r>
    </w:p>
    <w:p>
      <w:pPr>
        <w:spacing w:after="0" w:line="12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Obligations</w:t>
      </w:r>
    </w:p>
    <w:p>
      <w:pPr>
        <w:spacing w:after="0" w:line="1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periodically enters into contingent payment obligations in connection with its investments in Affiliates. In these obligations, the Company agrees to pay additional consideration to the sellers to the extent that certain specified financial targets are achieved. For consolidated Affiliates, the Company estimates the fair value of these potential future obligations at the time the investment in an Affiliate is consummated and records a liability in Other liabilities.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included in Other expenses (net) and the accretion of these obligations to their expected payment amounts are included in Interest expense. For Affiliates accounted for under the equity method of accounting, the Company records a liability in Other liabilities when a payment becomes probable, with a corresponding increase to the carrying value of the Affiliate in Equity method investments in Affiliates (net).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14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recorded in Income tax expense in the period when the change is enacted.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regularly assesses the recoverability of its deferred income tax assets to determine whether these assets are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The recording of adjustments to the valuation allowance will increase or decrease Income tax expense.</w:t>
      </w:r>
    </w:p>
    <w:p>
      <w:pPr>
        <w:spacing w:after="0" w:line="90"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10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 has elected to treat taxes due on U.S. inclusions in taxable income related to Global Intangible Low Taxed Income (“GILTI”) as a current period expense when incurred (the “period cost method”).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Foreign currency transaction gains and losses are included in Investment and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Concentration of Credit Risk</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exceed Federal Deposit Insurance Corporation insurance limits.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Earnings Per Share</w:t>
      </w:r>
    </w:p>
    <w:p>
      <w:pPr>
        <w:spacing w:after="0" w:line="15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had share-based compensation awards outstanding during the periods presented with vesting provisions subject to certain performance conditions. These awards are excluded from the calculation of Earnings per share (diluted) if the performance condition has not been met as of the end of the reporting period.</w:t>
      </w:r>
    </w:p>
    <w:p>
      <w:pPr>
        <w:spacing w:after="0" w:line="10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has agreements with Affiliate equity holders that provide the Company a conditional right to call and holders a conditional right to put their interests to the Company at certain intervals. These arrangements are presented at their current redemption value as Redeemable non-controlling interests. The Company may settle these interests in cash or, subject to the terms of the applicable agreement, shares of its common stock, or other forms of consideration, at its option. Prior to 2022, the Company excluded any potential dilutive effect from possible share settlements of Redeemable non-controlling interests as the Company currently intends to settle in cash. Upon adoption of ASU 2020-06, the Company must assume the settlement of all of its Redeemable non-controlling interests using the maximum number of shares permitted under its arrangements. Purchases are assumed to occur at the beginning of the reporting period. The Company acquires the rights to the underlying Affiliate equity when purchased, and therefore, the earnings that would be acquired (net of tax) are assumed to increase Net income (controlling interest) in the computation of Earnings per share (diluted). The issuance of shares and the related income acquired are excluded from the calculation if an assumed purchase of Redeemable non-controlling interests would be anti-dilutive to diluted earnings per share.</w:t>
      </w:r>
    </w:p>
    <w:p>
      <w:pPr>
        <w:spacing w:after="0" w:line="11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Company had junior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Share-Based Compensation Plans</w:t>
      </w:r>
    </w:p>
    <w:p>
      <w:pPr>
        <w:spacing w:after="0" w:line="158"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Company recognizes expenses for all share-based compensation arrangements based on the number of awards expected to vest. The expense for awards without performance conditions is recognized on a straight-line basis over the requisite service period, including grants that are subject to graded vesting. The Company recognizes expenses for all other arrangements on a straight-line basis for each separately vesting portion of the award.</w:t>
      </w:r>
    </w:p>
    <w:p>
      <w:pPr>
        <w:spacing w:after="0" w:line="8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Tax windfalls or shortfalls are recorded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(t)</w:t>
      </w:r>
      <w:r>
        <w:rPr>
          <w:sz w:val="20"/>
          <w:szCs w:val="20"/>
          <w:color w:val="auto"/>
        </w:rPr>
        <w:tab/>
      </w:r>
      <w:r>
        <w:rPr>
          <w:rFonts w:ascii="Arial" w:cs="Arial" w:eastAsia="Arial" w:hAnsi="Arial"/>
          <w:sz w:val="16"/>
          <w:szCs w:val="16"/>
          <w:i w:val="1"/>
          <w:iCs w:val="1"/>
          <w:color w:val="auto"/>
        </w:rPr>
        <w:t>Recent Accounting Developments</w:t>
      </w:r>
    </w:p>
    <w:p>
      <w:pPr>
        <w:spacing w:after="0" w:line="15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Effective January 1, 2022, the Company adopted ASU 2020-06, Debt with Conversion and Other Options and Derivatives and Hedging - Contracts in Entity’s Own Equity using a modified retrospective method. ASU 2020-06 removes the separate liability and equity accounting for the Company’s junior convertible securities. Consequently, the Company’s junior convertible securities are accounted for wholly as debt and are carried at their face value less unamortized debt issuance costs. The adoption resulted in increases in Debt and beginning Retained Earnings of $101.5 million and $4.5 million, respectively, and decreases in Additional paid-in-capital and Deferred income tax liability (net) of $80.6 million and $25.4 million, respectively. As a result of the adoption of ASU 2020-06, the Company also updated its Earnings Per Share accounting policy as described above.</w:t>
      </w:r>
    </w:p>
    <w:p>
      <w:pPr>
        <w:spacing w:after="0" w:line="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2022, the Financial Accounting Standards Board (“FASB”) issued ASU 2022-03, Fair Value Measurement (Topic 820): Fair Value Measurement of Equity Securities Subject to Contractual Sale Restrictions, which clarifies the guidance in Topic 820 on the fair value measurement of an equity security that is subject to a contractual sale restriction and requires specific disclosures related to such an equity security. The standard is effective for interim and annual periods beginning after December 15, 2023 for the Company, and is effective for interim and annual periods beginning after December 15, 2024 for the Company’s Affiliates. The Company is evaluating the impact of this standard, however it currently does not expect the adoption to have a material impact on its Consolidated Financial Statements.</w:t>
      </w:r>
    </w:p>
    <w:p>
      <w:pPr>
        <w:spacing w:after="0" w:line="10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cost, gross unrealized gains, gross unrealized losses, and fair value of investments in equity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Unrealized gains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1"/>
              </w:rPr>
              <w:t>(2.7)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r>
      <w:tr>
        <w:trPr>
          <w:trHeight w:val="20"/>
        </w:trPr>
        <w:tc>
          <w:tcPr>
            <w:tcW w:w="8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800" w:firstLine="324"/>
        <w:spacing w:after="0" w:line="263" w:lineRule="auto"/>
        <w:rPr>
          <w:sz w:val="20"/>
          <w:szCs w:val="20"/>
          <w:color w:val="auto"/>
        </w:rPr>
      </w:pPr>
      <w:r>
        <w:rPr>
          <w:rFonts w:ascii="Arial" w:cs="Arial" w:eastAsia="Arial" w:hAnsi="Arial"/>
          <w:sz w:val="18"/>
          <w:szCs w:val="18"/>
          <w:color w:val="auto"/>
        </w:rPr>
        <w:t>As of December 31, 2022, investments in equity securities include ordinary shares of EQT AB (“EQT”), a public company listed on Nasdaq Stockholm (EQT.ST) (see Note 10), with a fair value of $405.1 million. Between January 1, 2023 and February 15, 2023, the Company has sold $196.0 million of EQT ordinary shares.</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2021 and 2022, investments in equity securities include consolidated Affiliate sponsored investment products with fair values of $28.9 million and $23.5 million, respectively.</w:t>
      </w:r>
    </w:p>
    <w:p>
      <w:pPr>
        <w:spacing w:after="0" w:line="19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the year ended December 31, 2022, the Company recorded realized and unrealized gains on EQT ordinary shares of $43.8 million and $57.9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Securities</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summarizes the cost, gross unrealized losses, and fair value of investments in U.S. Treasury Notes classified as available-for-sale, of which $100.7 million mature in 2023 and $150.3 million mature in 2024, and other debt securities classified as trading: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3980" w:type="dxa"/>
            <w:vAlign w:val="bottom"/>
            <w:gridSpan w:val="6"/>
          </w:tcPr>
          <w:p>
            <w:pPr>
              <w:ind w:left="1380"/>
              <w:spacing w:after="0"/>
              <w:rPr>
                <w:sz w:val="20"/>
                <w:szCs w:val="20"/>
                <w:color w:val="auto"/>
              </w:rPr>
            </w:pPr>
            <w:r>
              <w:rPr>
                <w:rFonts w:ascii="Arial" w:cs="Arial" w:eastAsia="Arial" w:hAnsi="Arial"/>
                <w:sz w:val="14"/>
                <w:szCs w:val="14"/>
                <w:b w:val="1"/>
                <w:bCs w:val="1"/>
                <w:color w:val="auto"/>
              </w:rPr>
              <w:t>Available-for-Sale</w:t>
            </w:r>
          </w:p>
        </w:tc>
        <w:tc>
          <w:tcPr>
            <w:tcW w:w="240" w:type="dxa"/>
            <w:vAlign w:val="bottom"/>
          </w:tcPr>
          <w:p>
            <w:pPr>
              <w:spacing w:after="0"/>
              <w:rPr>
                <w:sz w:val="16"/>
                <w:szCs w:val="16"/>
                <w:color w:val="auto"/>
              </w:rPr>
            </w:pPr>
          </w:p>
        </w:tc>
        <w:tc>
          <w:tcPr>
            <w:tcW w:w="2020" w:type="dxa"/>
            <w:vAlign w:val="bottom"/>
            <w:gridSpan w:val="3"/>
          </w:tcPr>
          <w:p>
            <w:pPr>
              <w:ind w:left="1440"/>
              <w:spacing w:after="0"/>
              <w:rPr>
                <w:sz w:val="20"/>
                <w:szCs w:val="20"/>
                <w:color w:val="auto"/>
              </w:rPr>
            </w:pPr>
            <w:r>
              <w:rPr>
                <w:rFonts w:ascii="Arial" w:cs="Arial" w:eastAsia="Arial" w:hAnsi="Arial"/>
                <w:sz w:val="14"/>
                <w:szCs w:val="14"/>
                <w:b w:val="1"/>
                <w:bCs w:val="1"/>
                <w:color w:val="auto"/>
              </w:rPr>
              <w:t>Trading</w:t>
            </w:r>
          </w:p>
        </w:tc>
        <w:tc>
          <w:tcPr>
            <w:tcW w:w="1600" w:type="dxa"/>
            <w:vAlign w:val="bottom"/>
          </w:tcPr>
          <w:p>
            <w:pPr>
              <w:spacing w:after="0"/>
              <w:rPr>
                <w:sz w:val="16"/>
                <w:szCs w:val="16"/>
                <w:color w:val="auto"/>
              </w:rPr>
            </w:pPr>
          </w:p>
        </w:tc>
      </w:tr>
      <w:tr>
        <w:trPr>
          <w:trHeight w:val="26"/>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340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2022</w:t>
            </w: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580" w:type="dxa"/>
            <w:vAlign w:val="bottom"/>
            <w:tcBorders>
              <w:top w:val="single" w:sz="8" w:color="auto"/>
            </w:tcBorders>
            <w:shd w:val="clear" w:color="auto" w:fill="CCEEFF"/>
          </w:tcPr>
          <w:p>
            <w:pPr>
              <w:jc w:val="right"/>
              <w:ind w:right="13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19.7</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Unrealized losses</w:t>
            </w:r>
          </w:p>
        </w:tc>
        <w:tc>
          <w:tcPr>
            <w:tcW w:w="15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ind w:left="126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ind w:left="1220"/>
              <w:spacing w:after="0"/>
              <w:rPr>
                <w:sz w:val="20"/>
                <w:szCs w:val="20"/>
                <w:color w:val="auto"/>
              </w:rPr>
            </w:pPr>
            <w:r>
              <w:rPr>
                <w:rFonts w:ascii="Arial" w:cs="Arial" w:eastAsia="Arial" w:hAnsi="Arial"/>
                <w:sz w:val="18"/>
                <w:szCs w:val="18"/>
                <w:color w:val="auto"/>
                <w:w w:val="97"/>
              </w:rPr>
              <w:t>(1.7)</w:t>
            </w:r>
          </w:p>
        </w:tc>
      </w:tr>
      <w:tr>
        <w:trPr>
          <w:trHeight w:val="248"/>
        </w:trPr>
        <w:tc>
          <w:tcPr>
            <w:tcW w:w="3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w:t>
            </w:r>
          </w:p>
        </w:tc>
        <w:tc>
          <w:tcPr>
            <w:tcW w:w="1580" w:type="dxa"/>
            <w:vAlign w:val="bottom"/>
            <w:tcBorders>
              <w:top w:val="single" w:sz="8" w:color="auto"/>
              <w:bottom w:val="single" w:sz="8" w:color="auto"/>
            </w:tcBorders>
            <w:shd w:val="clear" w:color="auto" w:fill="CCEEFF"/>
          </w:tcPr>
          <w:p>
            <w:pPr>
              <w:jc w:val="right"/>
              <w:ind w:right="13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18.0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2021 and 2022, investments in debt securities classified as trading include consolidated Affiliate sponsored investment products with fair values of $14.0 million and $18.0 million, respectively.</w:t>
      </w:r>
    </w:p>
    <w:p>
      <w:pPr>
        <w:spacing w:after="0" w:line="8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62" w:lineRule="exact"/>
        <w:rPr>
          <w:sz w:val="20"/>
          <w:szCs w:val="20"/>
          <w:color w:val="auto"/>
        </w:rPr>
      </w:pPr>
    </w:p>
    <w:p>
      <w:pPr>
        <w:ind w:right="260" w:firstLine="180"/>
        <w:spacing w:after="0" w:line="342" w:lineRule="auto"/>
        <w:rPr>
          <w:sz w:val="20"/>
          <w:szCs w:val="20"/>
          <w:color w:val="auto"/>
        </w:rPr>
      </w:pPr>
      <w:r>
        <w:rPr>
          <w:rFonts w:ascii="Arial" w:cs="Arial" w:eastAsia="Arial" w:hAnsi="Arial"/>
          <w:sz w:val="16"/>
          <w:szCs w:val="16"/>
          <w:color w:val="auto"/>
        </w:rPr>
        <w:t>Other investments consists primarily of investments in funds advised by the Company’s Affiliates that are carried at NAV as a practical expedient and other investments without readily determinable fair values. Any gain or loss related to these investments is recorded in Investment and other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Measured at NAV as a Practical Expedient</w:t>
      </w:r>
    </w:p>
    <w:p>
      <w:pPr>
        <w:spacing w:after="0" w:line="14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Affiliates sponsor funds in which the Company and its Affiliates may make general partner and seed capital investments. These funds operate in partnership form and apply the specialized fair value accounting for investment companies. The Company accounts for its interests in these funds using the equity method of accounting and is required to retain the specialized accounting of the investment companies. Because the funds’ investments do not have readily determinable fair values, the Company uses the NAV of these investments as a practical expedient for their fair values. The following table summarizes the fair values of these investments and any related unfunded commitments: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260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Category of Investment</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4"/>
              </w:rPr>
              <w:t>Unfunded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192"/>
        </w:trPr>
        <w:tc>
          <w:tcPr>
            <w:tcW w:w="5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Commitments</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Investments in other strategies</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r>
              <w:rPr>
                <w:rFonts w:ascii="Arial" w:cs="Arial" w:eastAsia="Arial" w:hAnsi="Arial"/>
                <w:sz w:val="9"/>
                <w:szCs w:val="9"/>
                <w:color w:val="auto"/>
              </w:rPr>
              <w:t>(3)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780" w:hanging="332"/>
        <w:spacing w:after="0" w:line="263" w:lineRule="auto"/>
        <w:tabs>
          <w:tab w:leader="none" w:pos="327" w:val="left"/>
        </w:tabs>
        <w:numPr>
          <w:ilvl w:val="0"/>
          <w:numId w:val="26"/>
        </w:numPr>
        <w:rPr>
          <w:rFonts w:ascii="Arial" w:cs="Arial" w:eastAsia="Arial" w:hAnsi="Arial"/>
          <w:sz w:val="9"/>
          <w:szCs w:val="9"/>
          <w:color w:val="auto"/>
        </w:rPr>
      </w:pPr>
      <w:r>
        <w:rPr>
          <w:rFonts w:ascii="Arial" w:cs="Arial" w:eastAsia="Arial" w:hAnsi="Arial"/>
          <w:sz w:val="18"/>
          <w:szCs w:val="18"/>
          <w:color w:val="auto"/>
        </w:rPr>
        <w:t>The Company accounts for the majority of its interests in private equity funds one quarter in arrears (adjusted for current period calls and distributions). These funds primarily invest in a broad range of third-party funds and direct investments. Distributions will be received as the underlying assets are liquidated over the life of the funds, which is generally up to 15 years.</w:t>
      </w:r>
    </w:p>
    <w:p>
      <w:pPr>
        <w:spacing w:after="0" w:line="116" w:lineRule="exact"/>
        <w:rPr>
          <w:rFonts w:ascii="Arial" w:cs="Arial" w:eastAsia="Arial" w:hAnsi="Arial"/>
          <w:sz w:val="9"/>
          <w:szCs w:val="9"/>
          <w:color w:val="auto"/>
        </w:rPr>
      </w:pPr>
    </w:p>
    <w:p>
      <w:pPr>
        <w:ind w:left="340" w:right="520" w:hanging="332"/>
        <w:spacing w:after="0" w:line="277" w:lineRule="auto"/>
        <w:tabs>
          <w:tab w:leader="none" w:pos="327" w:val="left"/>
        </w:tabs>
        <w:numPr>
          <w:ilvl w:val="0"/>
          <w:numId w:val="26"/>
        </w:numPr>
        <w:rPr>
          <w:rFonts w:ascii="Arial" w:cs="Arial" w:eastAsia="Arial" w:hAnsi="Arial"/>
          <w:sz w:val="9"/>
          <w:szCs w:val="9"/>
          <w:color w:val="auto"/>
        </w:rPr>
      </w:pPr>
      <w:r>
        <w:rPr>
          <w:rFonts w:ascii="Arial" w:cs="Arial" w:eastAsia="Arial" w:hAnsi="Arial"/>
          <w:sz w:val="18"/>
          <w:szCs w:val="18"/>
          <w:color w:val="auto"/>
        </w:rPr>
        <w:t>These are multi-disciplinary funds that invest across various asset classes and strategies, including equity, credit, and real estate. Investments are generally redeemable on a daily, monthly, or quarterly basis.</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26"/>
        </w:numPr>
        <w:rPr>
          <w:rFonts w:ascii="Arial" w:cs="Arial" w:eastAsia="Arial" w:hAnsi="Arial"/>
          <w:sz w:val="9"/>
          <w:szCs w:val="9"/>
          <w:color w:val="auto"/>
        </w:rPr>
      </w:pPr>
      <w:r>
        <w:rPr>
          <w:rFonts w:ascii="Arial" w:cs="Arial" w:eastAsia="Arial" w:hAnsi="Arial"/>
          <w:sz w:val="18"/>
          <w:szCs w:val="18"/>
          <w:color w:val="auto"/>
        </w:rPr>
        <w:t>Fair value attributable to the controlling interest was $224.4 million and $275.1 million as of December 31, 2021 and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Without Readily Determinable Fair Values</w:t>
      </w:r>
    </w:p>
    <w:p>
      <w:pPr>
        <w:spacing w:after="0" w:line="15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made an investment in a private corporation where it does not exercise significant influence. Because this investment does not have a readily determinable fair value, the Company has elected to measure this investment at its cost minus impairments, if any, plus or minus changes resulting from observable price changes in orderly transactions for identical or similar investments in the private corporation. The following table summarizes the cost, cumulative unrealized gains, and carrying amount of investments without readily determinable fair values: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unrealized gains</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Carrying amount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2022, the Company recorded no gains or losses on the underlying investment.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Other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3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Measured at NAV</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Without Readily</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Measured at NAV</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Without Readily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as a Practical</w:t>
            </w: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Determinable Fair</w:t>
            </w:r>
          </w:p>
        </w:tc>
        <w:tc>
          <w:tcPr>
            <w:tcW w:w="140" w:type="dxa"/>
            <w:vAlign w:val="bottom"/>
          </w:tcPr>
          <w:p>
            <w:pPr>
              <w:spacing w:after="0"/>
              <w:rPr>
                <w:sz w:val="12"/>
                <w:szCs w:val="12"/>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a Practical</w:t>
            </w: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Determinable Fair</w:t>
            </w:r>
          </w:p>
        </w:tc>
        <w:tc>
          <w:tcPr>
            <w:tcW w:w="26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Expedient</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Expedient</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realized and unrealized gains</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and commitments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Sales and distributions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9"/>
          <w:szCs w:val="9"/>
          <w:color w:val="auto"/>
        </w:rPr>
      </w:pPr>
      <w:r>
        <w:rPr>
          <w:rFonts w:ascii="Arial" w:cs="Arial" w:eastAsia="Arial" w:hAnsi="Arial"/>
          <w:sz w:val="18"/>
          <w:szCs w:val="18"/>
          <w:color w:val="auto"/>
        </w:rPr>
        <w:t>Recognized in Investment and other income.</w:t>
      </w:r>
    </w:p>
    <w:p>
      <w:pPr>
        <w:spacing w:after="0" w:line="15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financial assets and liabilities that are measured at fair value on a recurring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Investments in equity securities</w:t>
            </w:r>
            <w:r>
              <w:rPr>
                <w:rFonts w:ascii="Arial" w:cs="Arial" w:eastAsia="Arial" w:hAnsi="Arial"/>
                <w:sz w:val="9"/>
                <w:szCs w:val="9"/>
                <w:color w:val="auto"/>
              </w:rPr>
              <w:t>(1)</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debt securities</w:t>
            </w:r>
            <w:r>
              <w:rPr>
                <w:rFonts w:ascii="Arial" w:cs="Arial" w:eastAsia="Arial" w:hAnsi="Arial"/>
                <w:sz w:val="9"/>
                <w:szCs w:val="9"/>
                <w:color w:val="auto"/>
              </w:rPr>
              <w:t>(1)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(3)</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Contingent payment obligations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Affiliate equity purchase obligations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5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Investments in equity securities</w:t>
            </w:r>
            <w:r>
              <w:rPr>
                <w:rFonts w:ascii="Arial" w:cs="Arial" w:eastAsia="Arial" w:hAnsi="Arial"/>
                <w:sz w:val="9"/>
                <w:szCs w:val="9"/>
                <w:color w:val="auto"/>
              </w:rPr>
              <w:t>(1)</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305.6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debt securities</w:t>
            </w:r>
            <w:r>
              <w:rPr>
                <w:rFonts w:ascii="Arial" w:cs="Arial" w:eastAsia="Arial" w:hAnsi="Arial"/>
                <w:sz w:val="9"/>
                <w:szCs w:val="9"/>
                <w:color w:val="auto"/>
              </w:rPr>
              <w:t>(1)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(3)</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Contingent payment obligations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Affiliate equity purchase obligations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9"/>
          <w:szCs w:val="9"/>
          <w:color w:val="auto"/>
        </w:rPr>
      </w:pPr>
      <w:r>
        <w:rPr>
          <w:rFonts w:ascii="Arial" w:cs="Arial" w:eastAsia="Arial" w:hAnsi="Arial"/>
          <w:sz w:val="18"/>
          <w:szCs w:val="18"/>
          <w:color w:val="auto"/>
        </w:rPr>
        <w:t>Amounts are presented within Investments in marketable securities.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 w:type="dxa"/>
            <w:vAlign w:val="bottom"/>
          </w:tcPr>
          <w:p>
            <w:pPr>
              <w:spacing w:after="0"/>
              <w:rPr>
                <w:sz w:val="20"/>
                <w:szCs w:val="20"/>
                <w:color w:val="auto"/>
              </w:rPr>
            </w:pPr>
            <w:r>
              <w:rPr>
                <w:rFonts w:ascii="Arial" w:cs="Arial" w:eastAsia="Arial" w:hAnsi="Arial"/>
                <w:sz w:val="9"/>
                <w:szCs w:val="9"/>
                <w:color w:val="auto"/>
              </w:rPr>
              <w:t>(2)</w:t>
            </w: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Amounts are presented within Other assets.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0"/>
                <w:szCs w:val="20"/>
                <w:color w:val="auto"/>
              </w:rPr>
            </w:pPr>
            <w:r>
              <w:rPr>
                <w:rFonts w:ascii="Arial" w:cs="Arial" w:eastAsia="Arial" w:hAnsi="Arial"/>
                <w:sz w:val="9"/>
                <w:szCs w:val="9"/>
                <w:color w:val="auto"/>
              </w:rPr>
              <w:t>(3)</w:t>
            </w: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Amounts are presented within Other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20" w:type="dxa"/>
            <w:vAlign w:val="bottom"/>
          </w:tcPr>
          <w:p>
            <w:pPr>
              <w:spacing w:after="0"/>
              <w:rPr>
                <w:sz w:val="5"/>
                <w:szCs w:val="5"/>
                <w:color w:val="auto"/>
              </w:rPr>
            </w:pPr>
          </w:p>
        </w:tc>
        <w:tc>
          <w:tcPr>
            <w:tcW w:w="52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5"/>
              </w:rPr>
              <w:t>Level 3 Financial Liabilities</w:t>
            </w: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The following table presents the changes in level 3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Contingent Payment</w:t>
            </w:r>
          </w:p>
        </w:tc>
        <w:tc>
          <w:tcPr>
            <w:tcW w:w="140" w:type="dxa"/>
            <w:vAlign w:val="bottom"/>
          </w:tcPr>
          <w:p>
            <w:pPr>
              <w:spacing w:after="0"/>
              <w:rPr>
                <w:sz w:val="12"/>
                <w:szCs w:val="12"/>
                <w:color w:val="auto"/>
              </w:rPr>
            </w:pPr>
          </w:p>
        </w:tc>
        <w:tc>
          <w:tcPr>
            <w:tcW w:w="122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7"/>
              </w:rPr>
              <w:t>Affiliate</w:t>
            </w:r>
          </w:p>
        </w:tc>
        <w:tc>
          <w:tcPr>
            <w:tcW w:w="100" w:type="dxa"/>
            <w:vAlign w:val="bottom"/>
          </w:tcPr>
          <w:p>
            <w:pPr>
              <w:spacing w:after="0"/>
              <w:rPr>
                <w:sz w:val="12"/>
                <w:szCs w:val="12"/>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Contingent Payment</w:t>
            </w:r>
          </w:p>
        </w:tc>
        <w:tc>
          <w:tcPr>
            <w:tcW w:w="140" w:type="dxa"/>
            <w:vAlign w:val="bottom"/>
          </w:tcPr>
          <w:p>
            <w:pPr>
              <w:spacing w:after="0"/>
              <w:rPr>
                <w:sz w:val="12"/>
                <w:szCs w:val="12"/>
                <w:color w:val="auto"/>
              </w:rPr>
            </w:pPr>
          </w:p>
        </w:tc>
        <w:tc>
          <w:tcPr>
            <w:tcW w:w="1220" w:type="dxa"/>
            <w:vAlign w:val="bottom"/>
          </w:tcPr>
          <w:p>
            <w:pPr>
              <w:jc w:val="center"/>
              <w:ind w:right="96"/>
              <w:spacing w:after="0" w:line="139" w:lineRule="exact"/>
              <w:rPr>
                <w:sz w:val="20"/>
                <w:szCs w:val="20"/>
                <w:color w:val="auto"/>
              </w:rPr>
            </w:pPr>
            <w:r>
              <w:rPr>
                <w:rFonts w:ascii="Arial" w:cs="Arial" w:eastAsia="Arial" w:hAnsi="Arial"/>
                <w:sz w:val="14"/>
                <w:szCs w:val="14"/>
                <w:b w:val="1"/>
                <w:bCs w:val="1"/>
                <w:color w:val="auto"/>
              </w:rPr>
              <w:t>Affiliate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Equity Purchase</w:t>
            </w: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Equity Purchase</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Obligations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Obligations</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Purchases and issuances</w:t>
            </w:r>
            <w:r>
              <w:rPr>
                <w:rFonts w:ascii="Arial" w:cs="Arial" w:eastAsia="Arial" w:hAnsi="Arial"/>
                <w:sz w:val="9"/>
                <w:szCs w:val="9"/>
                <w:color w:val="auto"/>
              </w:rPr>
              <w:t>(1)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Settlements and reductions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realized and unrealized (gains) losses</w:t>
            </w:r>
            <w:r>
              <w:rPr>
                <w:rFonts w:ascii="Arial" w:cs="Arial" w:eastAsia="Arial" w:hAnsi="Arial"/>
                <w:sz w:val="9"/>
                <w:szCs w:val="9"/>
                <w:color w:val="auto"/>
              </w:rPr>
              <w:t>(2)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4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Net change in unrealized gains relating to instruments still held at the</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reporting date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9"/>
          <w:szCs w:val="9"/>
          <w:color w:val="auto"/>
        </w:rPr>
      </w:pPr>
      <w:r>
        <w:rPr>
          <w:rFonts w:ascii="Arial" w:cs="Arial" w:eastAsia="Arial" w:hAnsi="Arial"/>
          <w:sz w:val="18"/>
          <w:szCs w:val="18"/>
          <w:color w:val="auto"/>
        </w:rPr>
        <w:t>Affiliate equity purchase obligation activity includes transfers from Redeemable non-controlling interests.</w:t>
      </w:r>
    </w:p>
    <w:p>
      <w:pPr>
        <w:spacing w:after="0" w:line="157" w:lineRule="exact"/>
        <w:rPr>
          <w:rFonts w:ascii="Arial" w:cs="Arial" w:eastAsia="Arial" w:hAnsi="Arial"/>
          <w:sz w:val="9"/>
          <w:szCs w:val="9"/>
          <w:color w:val="auto"/>
        </w:rPr>
      </w:pPr>
    </w:p>
    <w:p>
      <w:pPr>
        <w:ind w:left="340" w:right="40" w:hanging="332"/>
        <w:spacing w:after="0" w:line="277" w:lineRule="auto"/>
        <w:tabs>
          <w:tab w:leader="none" w:pos="327" w:val="left"/>
        </w:tabs>
        <w:numPr>
          <w:ilvl w:val="0"/>
          <w:numId w:val="30"/>
        </w:numPr>
        <w:rPr>
          <w:rFonts w:ascii="Arial" w:cs="Arial" w:eastAsia="Arial" w:hAnsi="Arial"/>
          <w:sz w:val="9"/>
          <w:szCs w:val="9"/>
          <w:color w:val="auto"/>
        </w:rPr>
      </w:pPr>
      <w:r>
        <w:rPr>
          <w:rFonts w:ascii="Arial" w:cs="Arial" w:eastAsia="Arial" w:hAnsi="Arial"/>
          <w:sz w:val="18"/>
          <w:szCs w:val="18"/>
          <w:color w:val="auto"/>
        </w:rPr>
        <w:t>Gains and losses resulting from changes to expected payments are included in Other expenses (net) and the accretion of these obligations is included in Interest expense.</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valuing the Company’s recurring level 3 fair value measurements: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gridSpan w:val="10"/>
          </w:tcPr>
          <w:p>
            <w:pPr>
              <w:ind w:left="20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Valuation</w:t>
            </w: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10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Range</w:t>
            </w:r>
          </w:p>
        </w:tc>
        <w:tc>
          <w:tcPr>
            <w:tcW w:w="10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Techniques</w:t>
            </w:r>
          </w:p>
        </w:tc>
        <w:tc>
          <w:tcPr>
            <w:tcW w:w="1260" w:type="dxa"/>
            <w:vAlign w:val="bottom"/>
            <w:gridSpan w:val="2"/>
          </w:tcPr>
          <w:p>
            <w:pPr>
              <w:ind w:left="420"/>
              <w:spacing w:after="0"/>
              <w:rPr>
                <w:sz w:val="20"/>
                <w:szCs w:val="20"/>
                <w:color w:val="auto"/>
              </w:rPr>
            </w:pPr>
            <w:r>
              <w:rPr>
                <w:rFonts w:ascii="Arial" w:cs="Arial" w:eastAsia="Arial" w:hAnsi="Arial"/>
                <w:sz w:val="13"/>
                <w:szCs w:val="13"/>
                <w:b w:val="1"/>
                <w:bCs w:val="1"/>
                <w:color w:val="auto"/>
              </w:rPr>
              <w:t>Input</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160" w:type="dxa"/>
            <w:vAlign w:val="bottom"/>
            <w:gridSpan w:val="2"/>
          </w:tcPr>
          <w:p>
            <w:pPr>
              <w:ind w:left="140"/>
              <w:spacing w:after="0" w:line="189"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4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9"/>
        </w:trPr>
        <w:tc>
          <w:tcPr>
            <w:tcW w:w="17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Contingent payment</w:t>
            </w:r>
          </w:p>
        </w:tc>
        <w:tc>
          <w:tcPr>
            <w:tcW w:w="10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Monte Carlo</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Volatility</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40.3</w:t>
            </w: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 - 25%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13 %</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21.0</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 - 25%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simulation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Affiliate equity purchase</w:t>
            </w:r>
          </w:p>
        </w:tc>
        <w:tc>
          <w:tcPr>
            <w:tcW w:w="11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Discounted cash</w:t>
            </w:r>
          </w:p>
        </w:tc>
        <w:tc>
          <w:tcPr>
            <w:tcW w:w="12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Growth rates</w:t>
            </w:r>
            <w:r>
              <w:rPr>
                <w:rFonts w:ascii="Arial" w:cs="Arial" w:eastAsia="Arial" w:hAnsi="Arial"/>
                <w:sz w:val="9"/>
                <w:szCs w:val="9"/>
                <w:color w:val="auto"/>
              </w:rPr>
              <w:t>(2)</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 - 7%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 - 6%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 - 18%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 - 17%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9"/>
          <w:szCs w:val="9"/>
          <w:color w:val="auto"/>
        </w:rPr>
      </w:pPr>
      <w:r>
        <w:rPr>
          <w:rFonts w:ascii="Arial" w:cs="Arial" w:eastAsia="Arial" w:hAnsi="Arial"/>
          <w:sz w:val="18"/>
          <w:szCs w:val="18"/>
          <w:color w:val="auto"/>
        </w:rPr>
        <w:t>Calculated by comparing the relative fair value of an obligation to its respective total.</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31"/>
        </w:numPr>
        <w:rPr>
          <w:rFonts w:ascii="Arial" w:cs="Arial" w:eastAsia="Arial" w:hAnsi="Arial"/>
          <w:sz w:val="9"/>
          <w:szCs w:val="9"/>
          <w:color w:val="auto"/>
        </w:rPr>
      </w:pPr>
      <w:r>
        <w:rPr>
          <w:rFonts w:ascii="Arial" w:cs="Arial" w:eastAsia="Arial" w:hAnsi="Arial"/>
          <w:sz w:val="18"/>
          <w:szCs w:val="18"/>
          <w:color w:val="auto"/>
        </w:rPr>
        <w:t>Represents growth rates of asset- and performance-based fees.</w:t>
      </w:r>
    </w:p>
    <w:p>
      <w:pPr>
        <w:spacing w:after="0" w:line="1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Contingent payment obligations represent the fair value of the expected future settlement amounts related to the Company’s investments in its consolidated Affiliates. Changes to assumed volatility and discount rates change the fair value of contingent payment obligations. Increases to the volatility rates used would result in higher fair values, while increases to the discount rates used would result in lower fair values.</w:t>
      </w:r>
    </w:p>
    <w:p>
      <w:pPr>
        <w:spacing w:after="0" w:line="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Affiliate equity purchase obligations include agreements to purchase Affiliate equity. As of December 31, 2022, there were no changes to growth or discount rates that had a significant impact to Affiliate equity purchase obligations recorded in prior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Financial Assets and Liabilities Not Carried at Fair Value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other financial liabilities not carried at fair value: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27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2022</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Fair Value Hierarchy</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Junior subordinated notes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19"/>
                <w:szCs w:val="19"/>
                <w:color w:val="auto"/>
              </w:rPr>
            </w:pPr>
          </w:p>
        </w:tc>
        <w:tc>
          <w:tcPr>
            <w:tcW w:w="1360" w:type="dxa"/>
            <w:vAlign w:val="bottom"/>
          </w:tcPr>
          <w:p>
            <w:pPr>
              <w:ind w:left="80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convertible securities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other financial assets and liabilities that are not required to be carried at fair value, but are required to be disclosed at fair value. The carrying amount of Cash and cash equivalents, Receivables, Payables and accrued liabilities, and certain Other liabilities approximates fair value because of the short-term nature of these instruments. The carrying value of notes receivable, which is reported in Other assets, approximates fair value because interest rates and other terms are at market rates. The carrying value of the credit facilities (as defined in Note 6) approximates fair value because the credit facilities have variable interest based on selected short-term rates.</w:t>
      </w:r>
    </w:p>
    <w:p>
      <w:pPr>
        <w:spacing w:after="0" w:line="11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and Affiliate Sponsored Investment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Affiliates are consolidated or accounted for under the equity method, depending upon the underlying structure of and relationship with each Affiliate.</w:t>
      </w:r>
    </w:p>
    <w:p>
      <w:pPr>
        <w:spacing w:after="0" w:line="10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Substantially all of the Company’s consolidated Affiliates are considered VIEs. The unconsolidated assets, net of liabilities and non-controlling interests of Affiliates accounted for under the equity method considered VIEs, and the Company’s carrying value and maximum exposure to loss,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Pr>
          <w:p>
            <w:pPr>
              <w:spacing w:after="0"/>
              <w:rPr>
                <w:sz w:val="16"/>
                <w:szCs w:val="16"/>
                <w:color w:val="auto"/>
              </w:rPr>
            </w:pPr>
          </w:p>
        </w:tc>
        <w:tc>
          <w:tcPr>
            <w:tcW w:w="322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3" w:lineRule="exact"/>
              <w:rPr>
                <w:sz w:val="20"/>
                <w:szCs w:val="20"/>
                <w:color w:val="auto"/>
              </w:rPr>
            </w:pPr>
            <w:r>
              <w:rPr>
                <w:rFonts w:ascii="Arial" w:cs="Arial" w:eastAsia="Arial" w:hAnsi="Arial"/>
                <w:sz w:val="14"/>
                <w:szCs w:val="14"/>
                <w:b w:val="1"/>
                <w:bCs w:val="1"/>
                <w:color w:val="auto"/>
                <w:w w:val="95"/>
              </w:rPr>
              <w:t>Carrying Value and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3"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600" w:type="dxa"/>
            <w:vAlign w:val="bottom"/>
          </w:tcPr>
          <w:p>
            <w:pPr>
              <w:jc w:val="center"/>
              <w:ind w:right="10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accounted for under the equity method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2,023.0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of December 31, 2021 and 2022, the carrying value and maximum exposure to loss for all of the Company’s Affiliates accounted for under the equity method was $2,134.4 million and $2,139.5 million, respectively, including Affiliates accounted for under the equity method considered VREs of $111.4 million and $87.9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5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Company’s carrying value, and maximum exposure to loss from unconsolidated Affiliate sponsored investment products, is its or its consolidated Affiliates’ interests in the unconsolidated net assets of the respective products. The net assets of unconsolidated VIEs attributable to Affiliate sponsored investment products, and the Company’s carrying value and maximum exposure to loss,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Pr>
          <w:p>
            <w:pPr>
              <w:spacing w:after="0"/>
              <w:rPr>
                <w:sz w:val="16"/>
                <w:szCs w:val="16"/>
                <w:color w:val="auto"/>
              </w:rPr>
            </w:pPr>
          </w:p>
        </w:tc>
        <w:tc>
          <w:tcPr>
            <w:tcW w:w="322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29" w:lineRule="exact"/>
              <w:rPr>
                <w:sz w:val="20"/>
                <w:szCs w:val="20"/>
                <w:color w:val="auto"/>
              </w:rPr>
            </w:pPr>
            <w:r>
              <w:rPr>
                <w:rFonts w:ascii="Arial" w:cs="Arial" w:eastAsia="Arial" w:hAnsi="Arial"/>
                <w:sz w:val="14"/>
                <w:szCs w:val="14"/>
                <w:b w:val="1"/>
                <w:bCs w:val="1"/>
                <w:color w:val="auto"/>
                <w:w w:val="95"/>
              </w:rPr>
              <w:t>Carrying Value and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29"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7"/>
                <w:szCs w:val="17"/>
                <w:color w:val="auto"/>
              </w:rPr>
            </w:pPr>
          </w:p>
        </w:tc>
        <w:tc>
          <w:tcPr>
            <w:tcW w:w="1600" w:type="dxa"/>
            <w:vAlign w:val="bottom"/>
          </w:tcPr>
          <w:p>
            <w:pPr>
              <w:jc w:val="center"/>
              <w:ind w:right="10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 sponsored investment products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Debt: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bank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Junior convertible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2022, the Company adjusted the carrying value of its junior convertible securities (see Note 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Bank Debt</w:t>
      </w:r>
    </w:p>
    <w:p>
      <w:pPr>
        <w:spacing w:after="0" w:line="14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a $1.25 billion revolver and a $350.0 million senior unsecured term loan facility (the “term loan” and, together with the revolver, the “credit facilities”). On November 18, 2022, the Company (i) amended the revolver, extending the maturity date of the revolver by one year to October 25, 2027, and (ii) further amended the revolver and amended the term loan, replacing LIBOR with a term SOFR-based rate as an applicable benchmark for each facility. The term loan matures on October 23, 2026. Subject to certain conditions, the Company may increase the commitments under the revolver by up to an additional $500.0 million and may borrow up to an additional $75.0 million under the term loan. The Company pays interest on any outstanding obligations under the credit facilities at specified rates, currently based either on an applicable term-SOFR plus a SOFR adjustment of 0.10%, or prime rate, plus a marginal rate determined based on its credit rating. As of December 31, 2022, the interest rate for the Company’s outstanding borrowings under the term loan was term-SOFR plus a SOFR adjustment of 0.10%, plus the marginal rate of 0.85%.</w:t>
      </w:r>
    </w:p>
    <w:p>
      <w:pPr>
        <w:spacing w:after="0" w:line="98"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spacing w:after="0" w:line="5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31, 2021 and 2022, the Company had no outstanding borrowings under the revolver. As of December 31, 2021 and 2022, the Company had outstanding borrowings under the term loan of $350.0 million, and the weighted average interest rate on outstanding borrowings was 0.95% and 5.27%, respectively. The Company pays commitment fees on the unused portion of its revolver. For the years ended December 31, 2021 and 2022, these fees amounted to $1.5 million and $1.3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5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December 31, 2022, the Company had senior notes outstanding, the respective principal terms and effective interest rates of which are presented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6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ind w:right="65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654"/>
              <w:spacing w:after="0"/>
              <w:rPr>
                <w:sz w:val="20"/>
                <w:szCs w:val="20"/>
                <w:color w:val="auto"/>
              </w:rPr>
            </w:pPr>
            <w:r>
              <w:rPr>
                <w:rFonts w:ascii="Arial" w:cs="Arial" w:eastAsia="Arial" w:hAnsi="Arial"/>
                <w:sz w:val="14"/>
                <w:szCs w:val="14"/>
                <w:b w:val="1"/>
                <w:bCs w:val="1"/>
                <w:color w:val="auto"/>
              </w:rPr>
              <w:t>2030</w:t>
            </w:r>
          </w:p>
        </w:tc>
      </w:t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2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7"/>
                <w:szCs w:val="17"/>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Senior Notes</w:t>
            </w:r>
          </w:p>
        </w:tc>
      </w:tr>
      <w:tr>
        <w:trPr>
          <w:trHeight w:val="230"/>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2020</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3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2025</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June 2030</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Semi-annually</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Any time</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As defined</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3.39 %</w:t>
            </w:r>
          </w:p>
        </w:tc>
      </w:tr>
    </w:tbl>
    <w:p>
      <w:pPr>
        <w:spacing w:after="0" w:line="21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senior notes may be redeemed, in whole or in part, at any time, in the case of the 2024 and 2025 senior notes, and at any time prior to March 15, 2030, in the case of the 2030 senior notes. In each case, the senior notes may be redeemed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 in the case of the 2024 and the 2025 senior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notes, and to their present value as of the redemption date on a semi-annual basis at the applicable treasury rate plus 0.40%, in the case of the 2030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Junior Subordinated Notes</w:t>
      </w:r>
    </w:p>
    <w:p>
      <w:pPr>
        <w:spacing w:after="0" w:line="1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2022, the Company had junior subordinated notes outstanding, the respective principal terms and effective interest rates of which are presented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2061</w:t>
            </w:r>
          </w:p>
        </w:tc>
      </w:tr>
      <w:tr>
        <w:trPr>
          <w:trHeight w:val="196"/>
        </w:trPr>
        <w:tc>
          <w:tcPr>
            <w:tcW w:w="5640" w:type="dxa"/>
            <w:vAlign w:val="bottom"/>
          </w:tcPr>
          <w:p>
            <w:pPr>
              <w:spacing w:after="0"/>
              <w:rPr>
                <w:sz w:val="17"/>
                <w:szCs w:val="17"/>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Junior Subordinated Notes</w:t>
            </w:r>
          </w:p>
        </w:tc>
      </w:tr>
      <w:tr>
        <w:trPr>
          <w:trHeight w:val="23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2021</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2059</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2060</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2061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2026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As defined</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Listing</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NYSE</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r>
    </w:tbl>
    <w:p>
      <w:pPr>
        <w:spacing w:after="0" w:line="21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junior subordinated notes may be redeemed at any time, in whole or in part, on or after March 30, 2024, in the case of the 2059 junior subordinated notes, on or after September 30, 2025, in the case of the 2060 junior subordinated notes, and on or after September 30, 2026, in the case of the 2061 junior subordinated notes. In each case, the junior subordinated notes may be redeemed at 100% of the principal amount of the notes being redeemed, plus any accrued and unpaid interest thereon. Prior to the applicable redemption date, at the Company’s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spacing w:after="0" w:line="110"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Company may, at its option, and subject to certain conditions and restrictions, defer interest payments subject to the terms of the junior subordinated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Junior Convertible Securities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2022, the Company adopted ASU 2020-06. See Note 1.</w:t>
      </w:r>
    </w:p>
    <w:p>
      <w:pPr>
        <w:spacing w:after="0" w:line="158"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As of December 31, 2022, the Company had $341.7 million of principal outstanding in its 5.15% junior convertible trust preferred securities (the “junior convertible securities”), maturing in 2037. The junior convertible securities bear interest at a rate of 5.15% per annum, payable quarterly in cash.</w:t>
      </w:r>
    </w:p>
    <w:p>
      <w:pPr>
        <w:spacing w:after="0" w:line="4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December 31, 2021 and 2022, the unamortized issuance costs related to the junior convertible securities were $3.9 million and $3.1 million, respectively.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interest expense recognized in connection with the junior convertible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8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5.99 %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Holders of the junior convertible securities have no rights to put these securities to the Company. The holder may convert the securities to 0.2558 shares of common stock per $50.00 junior convertible security, equivalent to an adjusted conversion price of $195.47 per share. The conversion rate is subject to adjustments as described in the Amended and Restated Declaration of Trust of AMG Capital Trust II and the related indenture, both dated October 17, 2007 and filed as exhibits to this Annual Report on Form 10-K. Upon conversion, holders will receive cash or shares of the Company’s common stock, or a combination thereof, at the Company’s election. The Company may redeem the junior convertible securities if the closing price of its common stock for 20 trading days in a period of 30 consecutive trading days exceeds 130% of the then prevailing conversion price, and may also repurchase junior convertible securities in the open market or in privately negotiated transactions from time to time at management’s discretion. The junior convertible securities are considered contingent payment debt instruments under federal income tax regulations, which require the Company to deduct interest in an amount greater than its reported interest expense. The Company estimates that these deductions will generate annual deferred tax liabilities of approximately $8 million. During the years ended December 31, 2021 and 2022, the Company repurchased a portion of its junior convertible securities for a purchase price of $33.0 million and $60.9 million, respectively, and as a result of these repurchases, the Company reduced its Deferred income tax liability (net) by $7.0 million and $11.4 million, respectively.</w:t>
      </w:r>
    </w:p>
    <w:p>
      <w:pPr>
        <w:spacing w:after="0" w:line="9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In 2020, the Company terminated its pound sterling-denominated forward foreign currency contracts and its corresponding collar contracts, which were designated as net investment hedges, and upon settlement, the Company received net proceeds of $24.9 million. The net proceeds from the termination of the contracts are presented within sale of investment securities in the Consolidated Statements of Cash Flows.</w:t>
      </w:r>
    </w:p>
    <w:p>
      <w:pPr>
        <w:spacing w:after="0" w:line="9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2021, the Company terminated its interest rate swap contract (the “interest rate swap”) with a large financial institution (the “swap counterparty”), and upon settlement paid $0.4 million. The interest rate swap was designated as a cash flow hedge and was used to exchange a portion of the Company’s LIBOR-based interest payments for fixed rate interest payments.</w:t>
      </w:r>
    </w:p>
    <w:p>
      <w:pPr>
        <w:spacing w:after="0" w:line="103" w:lineRule="exact"/>
        <w:rPr>
          <w:sz w:val="20"/>
          <w:szCs w:val="20"/>
          <w:color w:val="auto"/>
        </w:rPr>
      </w:pPr>
    </w:p>
    <w:p>
      <w:pPr>
        <w:ind w:right="680" w:firstLine="324"/>
        <w:spacing w:after="0" w:line="259" w:lineRule="auto"/>
        <w:rPr>
          <w:sz w:val="20"/>
          <w:szCs w:val="20"/>
          <w:color w:val="auto"/>
        </w:rPr>
      </w:pPr>
      <w:r>
        <w:rPr>
          <w:rFonts w:ascii="Arial" w:cs="Arial" w:eastAsia="Arial" w:hAnsi="Arial"/>
          <w:sz w:val="18"/>
          <w:szCs w:val="18"/>
          <w:color w:val="auto"/>
        </w:rPr>
        <w:t>Certain of the Company’s Affiliates use forward foreign currency contracts to hedge the risk of foreign exchange rate movements, which are designated as cash flow hedges. These contracts do not include set-off rights and are therefore presented on a gross basis in Other assets and Other liabilities, which were $0.9 million and $0.8 million, respectively, as of December 31, 2021, and $0.5 million and $0.9 million, respectively, as of December 31, 2022.</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effects of the derivative financial instruments on the Consolidated Statements of Comprehensive Income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Gain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Loss Recorded in</w:t>
            </w:r>
          </w:p>
        </w:tc>
        <w:tc>
          <w:tcPr>
            <w:tcW w:w="120" w:type="dxa"/>
            <w:vAlign w:val="bottom"/>
          </w:tcPr>
          <w:p>
            <w:pPr>
              <w:spacing w:after="0"/>
              <w:rPr>
                <w:sz w:val="11"/>
                <w:szCs w:val="11"/>
                <w:color w:val="auto"/>
              </w:rPr>
            </w:pPr>
          </w:p>
        </w:tc>
        <w:tc>
          <w:tcPr>
            <w:tcW w:w="120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87"/>
              </w:rPr>
              <w:t>Loss Reclassified</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from Accumulated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Recorded in Other</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into Earnings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23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720"/>
              <w:spacing w:after="0"/>
              <w:rPr>
                <w:sz w:val="20"/>
                <w:szCs w:val="20"/>
                <w:color w:val="auto"/>
              </w:rPr>
            </w:pPr>
            <w:r>
              <w:rPr>
                <w:rFonts w:ascii="Arial" w:cs="Arial" w:eastAsia="Arial" w:hAnsi="Arial"/>
                <w:sz w:val="18"/>
                <w:szCs w:val="18"/>
                <w:color w:val="auto"/>
                <w:w w:val="91"/>
              </w:rPr>
              <w:t>(1.0)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40"/>
              <w:spacing w:after="0"/>
              <w:rPr>
                <w:sz w:val="20"/>
                <w:szCs w:val="20"/>
                <w:color w:val="auto"/>
              </w:rPr>
            </w:pPr>
            <w:r>
              <w:rPr>
                <w:rFonts w:ascii="Arial" w:cs="Arial" w:eastAsia="Arial" w:hAnsi="Arial"/>
                <w:sz w:val="18"/>
                <w:szCs w:val="18"/>
                <w:color w:val="auto"/>
                <w:w w:val="87"/>
              </w:rPr>
              <w:t>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19"/>
                <w:szCs w:val="19"/>
                <w:color w:val="auto"/>
              </w:rPr>
            </w:pPr>
          </w:p>
        </w:tc>
        <w:tc>
          <w:tcPr>
            <w:tcW w:w="1180" w:type="dxa"/>
            <w:vAlign w:val="bottom"/>
          </w:tcPr>
          <w:p>
            <w:pPr>
              <w:jc w:val="center"/>
              <w:ind w:left="760"/>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left="72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center"/>
              <w:ind w:left="760"/>
              <w:spacing w:after="0"/>
              <w:rPr>
                <w:sz w:val="20"/>
                <w:szCs w:val="20"/>
                <w:color w:val="auto"/>
              </w:rPr>
            </w:pPr>
            <w:r>
              <w:rPr>
                <w:rFonts w:ascii="Arial" w:cs="Arial" w:eastAsia="Arial" w:hAnsi="Arial"/>
                <w:sz w:val="18"/>
                <w:szCs w:val="18"/>
                <w:color w:val="auto"/>
                <w:w w:val="87"/>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center"/>
              <w:ind w:left="740"/>
              <w:spacing w:after="0"/>
              <w:rPr>
                <w:sz w:val="20"/>
                <w:szCs w:val="20"/>
                <w:color w:val="auto"/>
              </w:rPr>
            </w:pPr>
            <w:r>
              <w:rPr>
                <w:rFonts w:ascii="Arial" w:cs="Arial" w:eastAsia="Arial" w:hAnsi="Arial"/>
                <w:sz w:val="18"/>
                <w:szCs w:val="18"/>
                <w:color w:val="auto"/>
                <w:w w:val="87"/>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10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has committed to co-invest in certain Affiliate sponsored investment products. As of December 31, 2022, these unfunded commitments were $158.3 million and may be called in future periods.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2022, the Company was obligated to make deferred payments and was contingently liable to make payments in connection with certain of its consolidated Affiliates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Earliest Payable</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Controlling</w:t>
            </w: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vMerge w:val="restart"/>
          </w:tcPr>
          <w:p>
            <w:pPr>
              <w:jc w:val="right"/>
              <w:ind w:right="490"/>
              <w:spacing w:after="0"/>
              <w:rPr>
                <w:sz w:val="20"/>
                <w:szCs w:val="20"/>
                <w:color w:val="auto"/>
              </w:rPr>
            </w:pPr>
            <w:r>
              <w:rPr>
                <w:rFonts w:ascii="Arial" w:cs="Arial" w:eastAsia="Arial" w:hAnsi="Arial"/>
                <w:sz w:val="14"/>
                <w:szCs w:val="14"/>
                <w:b w:val="1"/>
                <w:bCs w:val="1"/>
                <w:color w:val="auto"/>
              </w:rPr>
              <w:t>Co-Investor</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7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payment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4240" w:type="dxa"/>
            <w:vAlign w:val="bottom"/>
          </w:tcPr>
          <w:p>
            <w:pPr>
              <w:ind w:left="20"/>
              <w:spacing w:after="0"/>
              <w:rPr>
                <w:sz w:val="20"/>
                <w:szCs w:val="20"/>
                <w:color w:val="auto"/>
              </w:rPr>
            </w:pPr>
            <w:r>
              <w:rPr>
                <w:rFonts w:ascii="Arial" w:cs="Arial" w:eastAsia="Arial" w:hAnsi="Arial"/>
                <w:sz w:val="18"/>
                <w:szCs w:val="18"/>
                <w:color w:val="auto"/>
              </w:rPr>
              <w:t>Contingent payment obligations</w:t>
            </w:r>
            <w:r>
              <w:rPr>
                <w:rFonts w:ascii="Arial" w:cs="Arial" w:eastAsia="Arial" w:hAnsi="Arial"/>
                <w:sz w:val="23"/>
                <w:szCs w:val="23"/>
                <w:color w:val="auto"/>
                <w:vertAlign w:val="superscript"/>
              </w:rPr>
              <w:t>(1)</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__________________________</w:t>
      </w:r>
    </w:p>
    <w:p>
      <w:pPr>
        <w:spacing w:after="0" w:line="147" w:lineRule="exact"/>
        <w:rPr>
          <w:sz w:val="20"/>
          <w:szCs w:val="20"/>
          <w:color w:val="auto"/>
        </w:rPr>
      </w:pPr>
    </w:p>
    <w:p>
      <w:pPr>
        <w:ind w:left="340" w:right="540" w:hanging="332"/>
        <w:spacing w:after="0" w:line="342" w:lineRule="auto"/>
        <w:tabs>
          <w:tab w:leader="none" w:pos="327" w:val="left"/>
        </w:tabs>
        <w:numPr>
          <w:ilvl w:val="0"/>
          <w:numId w:val="36"/>
        </w:numPr>
        <w:rPr>
          <w:rFonts w:ascii="Arial" w:cs="Arial" w:eastAsia="Arial" w:hAnsi="Arial"/>
          <w:sz w:val="8"/>
          <w:szCs w:val="8"/>
          <w:color w:val="auto"/>
        </w:rPr>
      </w:pPr>
      <w:r>
        <w:rPr>
          <w:rFonts w:ascii="Arial" w:cs="Arial" w:eastAsia="Arial" w:hAnsi="Arial"/>
          <w:sz w:val="16"/>
          <w:szCs w:val="16"/>
          <w:color w:val="auto"/>
        </w:rPr>
        <w:t>Fair value as of December 31, 2022. The Company is contingently liable to make maximum contingent payments of up to $110.0 million ($24.9 million attributable to the co-investor), of which $100.0 million and $10.0 million may become payable in 2024 and 2025, respectively.</w:t>
      </w:r>
    </w:p>
    <w:p>
      <w:pPr>
        <w:spacing w:after="0" w:line="5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Company had liabilities for deferred and contingent payment obligations related to certain of its investments in Affiliates accounted for under the equity method. As of December 31, 2022, the Company was obligated to make payments of up to $31.2 million, all of which is payable in 2023. Liabilities for deferred and contingent payments are included in Other liabilities.</w:t>
      </w:r>
    </w:p>
    <w:p>
      <w:pPr>
        <w:spacing w:after="0" w:line="11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As of December 31, 2022, the Company was contingently liable to make payments of $153.5 million related to the achievement of specified financial targets by certain of its Affiliates accounted for under the equity method, all of which, may become payable from 2023 through 2029. As of December 31, 2022, the Company expected to make payments of approximately $13 million. In the event certain financial targets are not met at one of the Company’s Affiliates accounted for under the equity method, the Company may receive payments of up to $12.5 million and also has the option to reduce its ownership interest and receive an incremental payment of $25.0 million.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Affiliate equity interests provide holders at consolidated Affiliates with a conditional right to put their interests to the Company over time.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14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and certain of its consolidated Affiliates operate under regulatory authorities that require the maintenance of minimum financial or capital requirements. The Company’s management is not aware of any significant violations of such requirements.</w:t>
      </w:r>
    </w:p>
    <w:p>
      <w:pPr>
        <w:spacing w:after="0" w:line="9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Client Relationships</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the changes in the Company’s consolidated Affiliates’ Goodwill and components of Acquired client relationships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Goodwill</w:t>
            </w:r>
          </w:p>
        </w:tc>
        <w:tc>
          <w:tcPr>
            <w:tcW w:w="980" w:type="dxa"/>
            <w:vAlign w:val="bottom"/>
          </w:tcPr>
          <w:p>
            <w:pPr>
              <w:spacing w:after="0"/>
              <w:rPr>
                <w:sz w:val="16"/>
                <w:szCs w:val="16"/>
                <w:color w:val="auto"/>
              </w:rPr>
            </w:pPr>
          </w:p>
        </w:tc>
      </w:tr>
      <w:tr>
        <w:trPr>
          <w:trHeight w:val="25"/>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the Company completed its annual impairment assessment on goodwill and no impairment was indicated.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Acquired Client Relationships (Net)</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Definite-lived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Indefinite-lived</w:t>
            </w:r>
          </w:p>
        </w:tc>
        <w:tc>
          <w:tcPr>
            <w:tcW w:w="260" w:type="dxa"/>
            <w:vAlign w:val="bottom"/>
          </w:tcPr>
          <w:p>
            <w:pPr>
              <w:spacing w:after="0"/>
              <w:rPr>
                <w:sz w:val="16"/>
                <w:szCs w:val="16"/>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3"/>
        </w:trPr>
        <w:tc>
          <w:tcPr>
            <w:tcW w:w="4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Gross Book</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3"/>
              <w:spacing w:after="0" w:line="133" w:lineRule="exact"/>
              <w:rPr>
                <w:sz w:val="20"/>
                <w:szCs w:val="20"/>
                <w:color w:val="auto"/>
              </w:rPr>
            </w:pPr>
            <w:r>
              <w:rPr>
                <w:rFonts w:ascii="Arial" w:cs="Arial" w:eastAsia="Arial" w:hAnsi="Arial"/>
                <w:sz w:val="14"/>
                <w:szCs w:val="14"/>
                <w:b w:val="1"/>
                <w:bCs w:val="1"/>
                <w:color w:val="auto"/>
                <w:w w:val="94"/>
              </w:rPr>
              <w:t>Net Book</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94"/>
              </w:rPr>
              <w:t>Net Book</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4"/>
              </w:rPr>
              <w:t>Net Book</w:t>
            </w:r>
          </w:p>
        </w:tc>
      </w:tr>
      <w:tr>
        <w:trPr>
          <w:trHeight w:val="192"/>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1,966.4</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9"/>
          <w:szCs w:val="9"/>
          <w:color w:val="auto"/>
        </w:rPr>
      </w:pPr>
      <w:r>
        <w:rPr>
          <w:rFonts w:ascii="Arial" w:cs="Arial" w:eastAsia="Arial" w:hAnsi="Arial"/>
          <w:sz w:val="18"/>
          <w:szCs w:val="18"/>
          <w:color w:val="auto"/>
        </w:rPr>
        <w:t>Transfers include acquired client relationships at Affiliates that were deconsolidated during the period.</w:t>
      </w:r>
    </w:p>
    <w:p>
      <w:pPr>
        <w:spacing w:after="0" w:line="15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Definite-lived acquired client relationships at the Company’s consolidated Affiliates are amortized over their expected period of economic benefit. The Company recorded amortization expense in Intangible amortization and impairments for these relationships of $55.3 million, $35.7 million, and $49.1 million for the years ended December 31, 2020, 2021, and 2022, respectively. Based on relationships existing as of December 31, 2022, the Company estimates that its consolidated amortization expense will be approximately $50 million in 2023, approximately $35 million in 2024, and approximately $30 million in each of 2025, 2026, and 2027. As of December 31, 2022, no impairments of definite-lived acquired client relationships were indicated.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no impairments of indefinite-lived acquired client relationships were indicated.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 Company had no provisional purchase price allocations.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Method Investments in Affiliates</w:t>
      </w:r>
    </w:p>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first and fourth quarters of 2022, the Company completed an additional investment in Systematica Investments, an innovative technology-driven systematic manager, and completed a minority investment in Peppertree Capital Management, Inc. (“Peppertree”), a private markets firm specializing in communications infrastructure, respectively. The majority of the consideration paid for Peppertree will be deductible for U.S. tax purposes over a 15-year life. The Company’s purchase price allocation for each investment was measured using discounted cash flow analyses that included assumptions of expected market performance, net client cash flows, and discount rates.</w:t>
      </w:r>
    </w:p>
    <w:p>
      <w:pPr>
        <w:spacing w:after="0" w:line="12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financial results of certain Affiliates accounted for under the equity method are recognized in the Consolidated Financial Statements one quarter in arrears.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method investments in Affiliates (net)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r>
      <w:tr>
        <w:trPr>
          <w:trHeight w:val="25"/>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Definite-lived acquired client relationships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acquired client relationships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Undistributed earnings and tangible capital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r>
      <w:tr>
        <w:trPr>
          <w:trHeight w:val="248"/>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investments in Affiliates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 in Equity method investments in Affiliates (net):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Equity Method Investments in Affiliates</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Investments in Affiliates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BPEA</w:t>
            </w:r>
            <w:r>
              <w:rPr>
                <w:rFonts w:ascii="Arial" w:cs="Arial" w:eastAsia="Arial" w:hAnsi="Arial"/>
                <w:sz w:val="9"/>
                <w:szCs w:val="9"/>
                <w:color w:val="auto"/>
              </w:rPr>
              <w:t>(1)</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Distributions of earnings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(394.7)</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9"/>
          <w:szCs w:val="9"/>
          <w:color w:val="auto"/>
        </w:rPr>
      </w:pPr>
      <w:r>
        <w:rPr>
          <w:rFonts w:ascii="Arial" w:cs="Arial" w:eastAsia="Arial" w:hAnsi="Arial"/>
          <w:sz w:val="18"/>
          <w:szCs w:val="18"/>
          <w:color w:val="auto"/>
        </w:rPr>
        <w:t>Represents the Company’s equity method investment in Baring Private Equity Asia (“BPEA”) as of the BPEA Transaction closing date.</w:t>
      </w:r>
    </w:p>
    <w:p>
      <w:pPr>
        <w:spacing w:after="0" w:line="1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Affiliates accounted for under the equity method are amortized over their expected period of economic benefit. The Company recorded amortization expense for these relationships of $147.0 million, $123.0 million, and $109.1 million for the years ended December 31, 2020, 2021, and 2022, respectively. Based on relationships existing as of December 31, 2022, the Company estimates the amortization expense attributable to its Affiliates will be approximately $85 million in 2023, approximately $55 million in 2024, approximately $50 million in 2025, and approximately $45 million in each of 2026 and 2027.</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the year ended 2021, the Company recorded a $52.0 million expense to reduce the carrying value of an Affiliate to fair value. The decline in the fair value was a result of a decline in assets under management and a reduction in projected growth, which decreased the forecasted revenue associated with the investment. The fair value of the investment was determined using a probability-weighted discounted cash flow analysis, a level 3 fair value measurement that included a projected compounded growth in assets under management over the first five years of 0.3%, long-term growth rate of 5%, discount rates of 11% and 20% for asset- and performance-based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2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For the year ended 2022, the Company recorded a $50.0 million expense to reduce the carrying value of an Affiliate to fair value. The decline in the fair value was a result of a decline in assets under management and a reduction in projected margin, which decreased the forecasted income associated with the investment. The fair value of the investment was determined using a probability-weighted discounted cash flow analysis, a level 3 fair value measurement that included a projected compounded growth in assets under management over the first five years of 2%, long-term growth rate of 5%, discount rates of 11% and 20% for asset- and performance-based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2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the year ended December 31, 2022, the Company completed its annual assessment of its investments in Affiliates accounted for under the equity method and no other impairments were indicated.</w:t>
      </w:r>
    </w:p>
    <w:p>
      <w:pPr>
        <w:spacing w:after="0" w:line="8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had liabilities for deferred and contingent payment obligations related to certain of its investments in Affiliates accounted for under the equity method. See Note 8.</w:t>
      </w:r>
    </w:p>
    <w:p>
      <w:pPr>
        <w:spacing w:after="0" w:line="103"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The Company had 21 and 20 Affiliates accounted for under the equity method as of December 31, 2021 and 2022, respectively. The majority of these Affiliates are partnerships with structured interests that define how the Company will participate in Affiliate earnings, typically based upon a fixed percentage of revenue reduced by, in some cases, certain agreed-upon expenses. The partnership agreements do not define a fixed percentage for the Company’s ownership of the equity of the Affiliate. These percentages would be subject to a separate future negotiation if an Affiliate were to be sold or liquidated.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Pr>
          <w:p>
            <w:pPr>
              <w:spacing w:after="0"/>
              <w:rPr>
                <w:sz w:val="16"/>
                <w:szCs w:val="16"/>
                <w:color w:val="auto"/>
              </w:rPr>
            </w:pPr>
          </w:p>
        </w:tc>
      </w:tr>
      <w:tr>
        <w:trPr>
          <w:trHeight w:val="26"/>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r>
              <w:rPr>
                <w:rFonts w:ascii="Arial" w:cs="Arial" w:eastAsia="Arial" w:hAnsi="Arial"/>
                <w:sz w:val="9"/>
                <w:szCs w:val="9"/>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9"/>
                <w:szCs w:val="9"/>
                <w:color w:val="auto"/>
              </w:rPr>
              <w:t>(1)</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1,358.7</w:t>
            </w:r>
          </w:p>
        </w:tc>
      </w:tr>
      <w:tr>
        <w:trPr>
          <w:trHeight w:val="298"/>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24"/>
                <w:szCs w:val="24"/>
                <w:color w:val="auto"/>
              </w:rPr>
            </w:pPr>
          </w:p>
        </w:tc>
      </w:tr>
      <w:tr>
        <w:trPr>
          <w:trHeight w:val="26"/>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Liabilities and Non-controlling interests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1,221.4</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80" w:hanging="332"/>
        <w:spacing w:after="0" w:line="277" w:lineRule="auto"/>
        <w:tabs>
          <w:tab w:leader="none" w:pos="327" w:val="left"/>
        </w:tabs>
        <w:numPr>
          <w:ilvl w:val="0"/>
          <w:numId w:val="40"/>
        </w:numPr>
        <w:rPr>
          <w:rFonts w:ascii="Arial" w:cs="Arial" w:eastAsia="Arial" w:hAnsi="Arial"/>
          <w:sz w:val="9"/>
          <w:szCs w:val="9"/>
          <w:color w:val="auto"/>
        </w:rPr>
      </w:pPr>
      <w:r>
        <w:rPr>
          <w:rFonts w:ascii="Arial" w:cs="Arial" w:eastAsia="Arial" w:hAnsi="Arial"/>
          <w:sz w:val="18"/>
          <w:szCs w:val="18"/>
          <w:color w:val="auto"/>
        </w:rPr>
        <w:t>Revenue and net income include asset- and performance-based fees, the impact of consolidated sponsored investment products and new Affiliate investments for the full-year, regardless of the date of the Company’s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BPEA Transaction Gain</w:t>
      </w:r>
    </w:p>
    <w:p>
      <w:pPr>
        <w:spacing w:after="0" w:line="14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fourth quarter of 2022, the Company completed the previously announced sale of its equity interest in BPEA, an Affiliate accounted for by the Company under the equity method, to EQT (the “BPEA Transaction”) in connection with the strategic combination of BPEA and EQT. Pursuant to the terms of the Securities Purchase and Merger Agreement with EQT, under which the Company and each of the other owners agreed to sell their respective equity interests in BPEA, the Company received $223.6 million in cash, net of transaction costs, and 28.68 million EQT ordinary shares (25% of which are subject to a six-month lock-up, which expires in April 2023), and other investments. BPEA is included in the Company’s results through the closing date and the Company’s gain on the transaction was $641.9 million. The transaction was taxable at closing. During the fourth quarter of 2022 and through February 15, 2023, the Company has sold 17.4 million EQT ordinary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 Commitments</w:t>
      </w:r>
    </w:p>
    <w:p>
      <w:pPr>
        <w:spacing w:after="0" w:line="1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and its Affiliates currently lease office space and equipment under various operating leasing arrangements. The following table presents total lease costs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9"/>
              </w:rPr>
              <w:t>For the Years Ended December 31,</w:t>
            </w:r>
          </w:p>
        </w:tc>
        <w:tc>
          <w:tcPr>
            <w:tcW w:w="960" w:type="dxa"/>
            <w:vAlign w:val="bottom"/>
          </w:tcPr>
          <w:p>
            <w:pPr>
              <w:spacing w:after="0"/>
              <w:rPr>
                <w:sz w:val="16"/>
                <w:szCs w:val="16"/>
                <w:color w:val="auto"/>
              </w:rPr>
            </w:pPr>
          </w:p>
        </w:tc>
      </w:tr>
      <w:tr>
        <w:trPr>
          <w:trHeight w:val="25"/>
        </w:trPr>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costs (net)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As of December 31, 2021 and 2022, the Company’s and its Affiliates’ weighted average operating lease term was seven years and eight years, respectively, and the weighted average operating lease discount rate was 3%.</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 maturities of lease liabilities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r>
      <w:tr>
        <w:trPr>
          <w:trHeight w:val="25"/>
        </w:trPr>
        <w:tc>
          <w:tcPr>
            <w:tcW w:w="9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undiscounted lease liabilities</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right="420" w:hanging="332"/>
        <w:spacing w:after="0" w:line="308" w:lineRule="auto"/>
        <w:tabs>
          <w:tab w:leader="none" w:pos="327" w:val="left"/>
        </w:tabs>
        <w:numPr>
          <w:ilvl w:val="0"/>
          <w:numId w:val="41"/>
        </w:numPr>
        <w:rPr>
          <w:rFonts w:ascii="Arial" w:cs="Arial" w:eastAsia="Arial" w:hAnsi="Arial"/>
          <w:sz w:val="9"/>
          <w:szCs w:val="9"/>
          <w:color w:val="auto"/>
        </w:rPr>
      </w:pPr>
      <w:r>
        <w:rPr>
          <w:rFonts w:ascii="Arial" w:cs="Arial" w:eastAsia="Arial" w:hAnsi="Arial"/>
          <w:sz w:val="17"/>
          <w:szCs w:val="17"/>
          <w:color w:val="auto"/>
        </w:rPr>
        <w:t>Total undiscounted lease liabilities were $34.4 million greater than the operating leases recorded in Other liabilities primarily due to present value discounting. Both amounts exclude leases with initial terms of 12 months or less and leases that have not yet commenced.</w:t>
      </w:r>
    </w:p>
    <w:p>
      <w:pPr>
        <w:spacing w:after="0" w:line="6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Fixed assets, at cost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Payables and Accrued Liabilities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Payables and accrued liabilities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5"/>
        </w:trPr>
        <w:tc>
          <w:tcPr>
            <w:tcW w:w="8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Payables and accrued liabilities</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789.1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4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 prior owner of one of the Company’s consolidated Affiliates retains interests in certain of the Affiliate’s private equity partnerships and, as a result, is a related party of the Company. The prior owner’s interests are presented within Other liabilities and were $28.5 million and $21.0 million as of December 31, 2021 and 2022, respectively.</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may invest from time to time in funds or products advised by its Affiliates. The Company’s executive officers and directors may invest from time to time in funds advised or products offered by its Affiliates, or receive other investment services provided by its Affiliates, on substantially the same terms as other investors. In addition, the Company and its Affiliates earn asset- and performance-based fees and incur distribution and other expenses for services provided to Affiliate sponsored investment products. Affiliate management owners and the Company’s officers may serve as trustees or directors of certain investment vehicles from which the Company or an Affiliate earns fees. Also, from time to time, the Company may enter into ordinary course engagements for capital markets, banking, brokerage, and other services with beneficial owners of 5% or more of the Company’s voting securities.</w:t>
      </w:r>
    </w:p>
    <w:p>
      <w:pPr>
        <w:spacing w:after="0" w:line="9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related party transactions in association with its deferred and contingent payment obligations, and Affiliate equity transactions, as more fully described in Notes 8, 10, 17, and 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authorized to issue up to 150.0 million shares of voting common stock and 3.0 million shares of class B non-voting common stock.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Board of Directors authorized share repurchase programs in October 2022, January 2022, and January 2021 to repurchase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million, 2.0 million, and 5.0 million shares of its common stock, respectively, and these authorizations have no expiry. Purchases may be made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to time, at management’s discretion, in the open market or in privately negotiated transactions, including through the use of trading plans,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accelerated share repurchase programs or other share repurchase strategies that may include derivative financial instruments. As of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2022, the Company had repurchased all of the shares of the January 2021 authorized amount, and there were a total of 3.9 million shares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under the Company’s October 2022 and January 2022 share repurchase programs.</w:t>
      </w:r>
    </w:p>
    <w:p>
      <w:pPr>
        <w:spacing w:after="0" w:line="130" w:lineRule="exact"/>
        <w:rPr>
          <w:sz w:val="20"/>
          <w:szCs w:val="20"/>
          <w:color w:val="auto"/>
        </w:rPr>
      </w:pPr>
    </w:p>
    <w:p>
      <w:pPr>
        <w:jc w:val="both"/>
        <w:ind w:right="100" w:firstLine="324"/>
        <w:spacing w:after="0" w:line="293" w:lineRule="auto"/>
        <w:rPr>
          <w:sz w:val="20"/>
          <w:szCs w:val="20"/>
          <w:color w:val="auto"/>
        </w:rPr>
      </w:pPr>
      <w:r>
        <w:rPr>
          <w:rFonts w:ascii="Arial" w:cs="Arial" w:eastAsia="Arial" w:hAnsi="Arial"/>
          <w:sz w:val="16"/>
          <w:szCs w:val="16"/>
          <w:color w:val="auto"/>
        </w:rPr>
        <w:t>In December 2022, the Company entered into an accelerated share repurchase agreement to repurchase shares of its common stock in exchange for an upfront payment of $225.0 million. The Company received an initial share delivery of 1.1 million shares in December 2022, which represents 80% of the upfront payment based on the closing price of the Company’s common stock on the agreement date. Such shares have been reflected in Treasury stock on the Consolidated Balance Sheets as of December 31, 2022. The total number of shares to be repurchased will be based on volume-weighted average prices of the Company’s common stock during the term of the agreement less a discount and subject to adjustments pursuant to the terms and conditions of such agreement. The final settlement of this transaction is expected to be completed in the second or third quarter of 2023.</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share repurchase activity: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8400" w:type="dxa"/>
            <w:vAlign w:val="bottom"/>
            <w:vMerge w:val="continue"/>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Repurchased</w:t>
            </w:r>
          </w:p>
        </w:tc>
        <w:tc>
          <w:tcPr>
            <w:tcW w:w="260" w:type="dxa"/>
            <w:vAlign w:val="bottom"/>
          </w:tcPr>
          <w:p>
            <w:pPr>
              <w:spacing w:after="0"/>
              <w:rPr>
                <w:sz w:val="17"/>
                <w:szCs w:val="17"/>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2021</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146.54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5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the second quarter of 2022, the Company entered into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This equity distribution program superseded and replaced the Company’s prior equity distribution program. As of December 31, 2022, no sales had occurred under the equity distribution program.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5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14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Plans</w:t>
      </w:r>
    </w:p>
    <w:p>
      <w:pPr>
        <w:spacing w:after="0" w:line="14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accrue in cash or may be reinvested in the Company’s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Share-Based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Tax Benefit</w:t>
            </w:r>
          </w:p>
        </w:tc>
        <w:tc>
          <w:tcPr>
            <w:tcW w:w="0" w:type="dxa"/>
            <w:vAlign w:val="bottom"/>
          </w:tcPr>
          <w:p>
            <w:pPr>
              <w:spacing w:after="0"/>
              <w:rPr>
                <w:sz w:val="1"/>
                <w:szCs w:val="1"/>
                <w:color w:val="auto"/>
              </w:rPr>
            </w:pPr>
          </w:p>
        </w:tc>
      </w:tr>
      <w:tr>
        <w:trPr>
          <w:trHeight w:val="186"/>
        </w:trPr>
        <w:tc>
          <w:tcPr>
            <w:tcW w:w="8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excess tax (deficiency) benefit recognized from share-based incentive plans was $(3.9) million, $(0.2) million, and $1.8 million, for the years ended December 31, 2020, 2021, and 2022, respectively.</w:t>
      </w:r>
    </w:p>
    <w:p>
      <w:pPr>
        <w:spacing w:after="0" w:line="10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As of December 31, 2021, the Company had unrecognized share-based compensation expense of $70.9 million. As of December 31, 2022, the Company had unrecognized share-based compensation of $64.7 million, which will be recognized over a weighted average period of approximately two years (assuming no forfeitures).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restricted stock units: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8400" w:type="dxa"/>
            <w:vAlign w:val="bottom"/>
          </w:tcPr>
          <w:p>
            <w:pPr>
              <w:spacing w:after="0"/>
              <w:rPr>
                <w:sz w:val="12"/>
                <w:szCs w:val="12"/>
                <w:color w:val="auto"/>
              </w:rPr>
            </w:pPr>
          </w:p>
        </w:tc>
        <w:tc>
          <w:tcPr>
            <w:tcW w:w="13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7"/>
        </w:trPr>
        <w:tc>
          <w:tcPr>
            <w:tcW w:w="84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units—December 31, 2021</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Units granted</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Units 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condition changes</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Unvested units—December 31, 2022</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granted restricted stock units with fair values of $31.8 million, $32.3 million, and $47.1 million for the years ended December 31, 2020, 2021, and 2022, respectively. These restricted stock units were valued based on the closing price of the Company’s common stock on the grant date and the number of shares expected to vest. Restricted stock units containing vesting conditions generally require service over a period of three years to four years and may also require the satisfaction of certain performance conditions. For awards with performance conditions, the number of restricted stock units expected to vest may change over time depending upon the performance level achieved.</w:t>
      </w:r>
    </w:p>
    <w:p>
      <w:pPr>
        <w:spacing w:after="0" w:line="10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total fair value of shares vested was $24.1 million, $51.7 million, and $54.6 million during the years ended December 31, 2020, 2021, and 2022, respectively. As of December 31, 2022, the Company had 2.7 million shares available for grant under its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stock options: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6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9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7"/>
        </w:trPr>
        <w:tc>
          <w:tcPr>
            <w:tcW w:w="6860" w:type="dxa"/>
            <w:vAlign w:val="bottom"/>
          </w:tcPr>
          <w:p>
            <w:pPr>
              <w:spacing w:after="0"/>
              <w:rPr>
                <w:sz w:val="17"/>
                <w:szCs w:val="17"/>
                <w:color w:val="auto"/>
              </w:rPr>
            </w:pPr>
          </w:p>
        </w:tc>
        <w:tc>
          <w:tcPr>
            <w:tcW w:w="90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Unexercised options outstanding—December 31, 2021</w:t>
            </w: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Options forfeited</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expired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Performance condition changes</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Unexercised options outstanding—December 31, 2022</w:t>
            </w: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tcPr>
          <w:p>
            <w:pPr>
              <w:ind w:left="20"/>
              <w:spacing w:after="0" w:line="204" w:lineRule="exact"/>
              <w:rPr>
                <w:sz w:val="20"/>
                <w:szCs w:val="20"/>
                <w:color w:val="auto"/>
              </w:rPr>
            </w:pPr>
            <w:r>
              <w:rPr>
                <w:rFonts w:ascii="Arial" w:cs="Arial" w:eastAsia="Arial" w:hAnsi="Arial"/>
                <w:sz w:val="18"/>
                <w:szCs w:val="18"/>
                <w:color w:val="auto"/>
              </w:rPr>
              <w:t>Exercisable at December 31, 2022</w:t>
            </w:r>
          </w:p>
        </w:tc>
        <w:tc>
          <w:tcPr>
            <w:tcW w:w="9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rPr>
              <w:t>0.0</w:t>
            </w:r>
          </w:p>
        </w:tc>
        <w:tc>
          <w:tcPr>
            <w:tcW w:w="360" w:type="dxa"/>
            <w:vAlign w:val="bottom"/>
            <w:gridSpan w:val="2"/>
          </w:tcPr>
          <w:p>
            <w:pPr>
              <w:jc w:val="right"/>
              <w:ind w:right="50"/>
              <w:spacing w:after="0" w:line="20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121.12</w:t>
            </w:r>
          </w:p>
        </w:tc>
        <w:tc>
          <w:tcPr>
            <w:tcW w:w="10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Company granted stock options with fair values of $4.4 million, $2.0 million, and $1.8 million for the years ended December 31, 2020, 2021, and 2022, respectively. Stock options generally vest over a period of three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awards with performance conditions, the number of stock options expected to vest may change over time depending upon the performance level achieved.</w:t>
      </w:r>
    </w:p>
    <w:p>
      <w:pPr>
        <w:spacing w:after="0" w:line="9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 generally uses treasury stock to settle stock option exercises. The total intrinsic value of stock options exercised during the years ended December 31, 2020, 2021, and 2022 was $0.0 million, $13.4 million, and $1.2 million, respectively. The cash received for stock options exercised was zero, $3.6 million, and $2.6 million during the years ended December 31, 2020, 2021, and 2022, respectively. As of December 31, 2022, the intrinsic value of exercisable stock options outstanding was $1.6 million, and 1.1 million options were available for grant under the Company’s option plans.</w:t>
      </w:r>
    </w:p>
    <w:p>
      <w:pPr>
        <w:spacing w:after="0" w:line="9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weighted average fair value of stock options was $18.33, $54.19, and $47.84 per option for the years ended December 31, 2020, 2021, and 2022, respectively. The Company uses the Black-Scholes option pricing model to determine the fair value of options. The weighted average grant date assumptions used to estimate the fair value of stock options granted were as follows:</w:t>
      </w:r>
    </w:p>
    <w:p>
      <w:pPr>
        <w:spacing w:after="0" w:line="14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3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9"/>
                <w:szCs w:val="9"/>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30.5 %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37.1 %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36.8 %</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9"/>
                <w:szCs w:val="9"/>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9"/>
                <w:szCs w:val="9"/>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Expected volatility is based on historical and implied volatility.</w:t>
      </w:r>
    </w:p>
    <w:p>
      <w:pPr>
        <w:spacing w:after="0" w:line="144" w:lineRule="exact"/>
        <w:rPr>
          <w:rFonts w:ascii="Arial" w:cs="Arial" w:eastAsia="Arial" w:hAnsi="Arial"/>
          <w:sz w:val="9"/>
          <w:szCs w:val="9"/>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Risk-free interest rate is based on the U.S. Treasury yield curve in effect at the date of grant.</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Expected life of options (in years) is based on the Company’s historical and expected exercise behavior.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Redeemable Non-Controlling Interests</w:t>
      </w:r>
    </w:p>
    <w:p>
      <w:pPr>
        <w:spacing w:after="0" w:line="14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by the Affiliate equity holder or on an annual basis following an Affiliate equity holder’s departure). Prior to becoming redeemable, the Company’s Affiliate equity is presented within Non-controlling interests. Upon becoming redeemable, these interests are reclassified to Redeemable non-controlling interests at their current redemption values. Changes in the current redemption value are recorded to Additional paid-in capital. When the Company has an unconditional obligation to purchase Affiliate equity interests, the interests are reclassified from Redeemable non-controlling interest to Other liabilities at current fair value. Changes in fair value are recorded to Other expenses (net).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Redeemable non-controlling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4"/>
              </w:rPr>
              <w:t>Redeemable Non-controlling Interests</w:t>
            </w:r>
          </w:p>
        </w:tc>
        <w:tc>
          <w:tcPr>
            <w:tcW w:w="0" w:type="dxa"/>
            <w:vAlign w:val="bottom"/>
          </w:tcPr>
          <w:p>
            <w:pPr>
              <w:spacing w:after="0"/>
              <w:rPr>
                <w:sz w:val="1"/>
                <w:szCs w:val="1"/>
                <w:color w:val="auto"/>
              </w:rPr>
            </w:pPr>
          </w:p>
        </w:tc>
      </w:tr>
      <w:tr>
        <w:trPr>
          <w:trHeight w:val="25"/>
        </w:trPr>
        <w:tc>
          <w:tcPr>
            <w:tcW w:w="8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Decrease attributable to consolidated Affiliate sponsored investment products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to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Transfers from Non-controlling interests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redemption value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Balance, end of period</w:t>
            </w:r>
            <w:r>
              <w:rPr>
                <w:rFonts w:ascii="Arial" w:cs="Arial" w:eastAsia="Arial" w:hAnsi="Arial"/>
                <w:sz w:val="9"/>
                <w:szCs w:val="9"/>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5540"/>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8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94" w:lineRule="exact"/>
        <w:rPr>
          <w:sz w:val="20"/>
          <w:szCs w:val="20"/>
          <w:color w:val="auto"/>
        </w:rPr>
      </w:pPr>
    </w:p>
    <w:p>
      <w:pPr>
        <w:ind w:left="340" w:right="380" w:hanging="332"/>
        <w:spacing w:after="0" w:line="277" w:lineRule="auto"/>
        <w:tabs>
          <w:tab w:leader="none" w:pos="340" w:val="left"/>
        </w:tabs>
        <w:numPr>
          <w:ilvl w:val="0"/>
          <w:numId w:val="45"/>
        </w:numPr>
        <w:rPr>
          <w:rFonts w:ascii="Arial" w:cs="Arial" w:eastAsia="Arial" w:hAnsi="Arial"/>
          <w:sz w:val="9"/>
          <w:szCs w:val="9"/>
          <w:color w:val="auto"/>
        </w:rPr>
      </w:pPr>
      <w:r>
        <w:rPr>
          <w:rFonts w:ascii="Arial" w:cs="Arial" w:eastAsia="Arial" w:hAnsi="Arial"/>
          <w:sz w:val="18"/>
          <w:szCs w:val="18"/>
          <w:color w:val="auto"/>
        </w:rPr>
        <w:t>As of December 31, 2021 and 2022, Redeemable non-controlling interests include consolidated Affiliate sponsored investment products primarily attributable to third-party investors of $25.0 million and $20.1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Affiliate Equity</w:t>
      </w:r>
    </w:p>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non-controlling interest Affiliate equity holders were $306.3 million, $334.3 million, and $341.9 million for the years ended December 31, 2020, 2021, and 2022, respectively.</w:t>
      </w:r>
    </w:p>
    <w:p>
      <w:pPr>
        <w:spacing w:after="0" w:line="9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Affiliate equity interests provide the Company a conditional right to call (following an Affiliate equity holder’s departure) and Affiliate equity holders have a conditional right to put their interests at certain intervals (including on an annual basis following an Affiliate equity holder’s departure). The Company has the right to settle a portion of these purchases in shares of its common stock. For Affiliates accounted for under the equity method, the Company does not typically have such put and call arrangements. The purchase price of these conditional purchases are generally calculated based upon a multiple of cash flow distributions, which is intended to represent fair value. Affiliate equity holders are also permitted to sell their equity interests to other individuals or entities in certain cases, subject to the Company's approval or other restrictions. The Company, at its option, may pay for Affiliate equity purchases in cash, shares of its common stock, or other forms of consideration, and can consent to the transfer of these interests to other individuals or entities.</w:t>
      </w:r>
    </w:p>
    <w:p>
      <w:pPr>
        <w:spacing w:after="0" w:line="12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Company periodically purchases Affiliate equity from and issues Affiliate equity to the Company’s consolidated Affiliate partners and other parties. The amount of cash paid for purchases was $315.1 million, $150.5 million, and $61.5 million for the years ended December 31, 2020, 2021, and 2022, respectively. The total amount of cash received for issuances was $20.2 million, $117.7 million (including $99.6 million from a co-investor), and $15.2 million for the years ended December 31, 2020, 2021, and 2022, respectively.</w:t>
      </w:r>
    </w:p>
    <w:p>
      <w:pPr>
        <w:spacing w:after="0" w:line="10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Sales and purchases of Affiliate equity generally occur at fair value; however, the Company also grants Affiliate equity to its consolidated Affiliate partners and other parties as a form of compensation. If the equity is issued for consideration below the fair value of the equity, or purchased for consideration above the fair value of the equity, the difference is recorded as compensation expense in Compensation and related expenses in the Consolidated Statements of Income over the requisite service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Affiliate equity compensation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gridSpan w:val="7"/>
          </w:tcPr>
          <w:p>
            <w:pPr>
              <w:jc w:val="center"/>
              <w:ind w:right="55"/>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2"/>
              </w:rPr>
              <w:t>The following table presents unrecognized Affiliate equity compensation expense:</w:t>
            </w: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4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Controlling Interest</w:t>
            </w:r>
          </w:p>
        </w:tc>
        <w:tc>
          <w:tcPr>
            <w:tcW w:w="140" w:type="dxa"/>
            <w:vAlign w:val="bottom"/>
          </w:tcPr>
          <w:p>
            <w:pPr>
              <w:spacing w:after="0"/>
              <w:rPr>
                <w:sz w:val="24"/>
                <w:szCs w:val="2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Remaining Life</w:t>
            </w: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Non-controlling</w:t>
            </w:r>
          </w:p>
        </w:tc>
        <w:tc>
          <w:tcPr>
            <w:tcW w:w="160" w:type="dxa"/>
            <w:vAlign w:val="bottom"/>
          </w:tcPr>
          <w:p>
            <w:pPr>
              <w:spacing w:after="0"/>
              <w:rPr>
                <w:sz w:val="24"/>
                <w:szCs w:val="24"/>
                <w:color w:val="auto"/>
              </w:rPr>
            </w:pPr>
          </w:p>
        </w:tc>
        <w:tc>
          <w:tcPr>
            <w:tcW w:w="12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Remaining Life</w:t>
            </w: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 years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 years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records amounts receivable from, and payable to, Affiliate equity holders in connection with the transfer of Affiliate equity interests that have not settled at the end of the period. The total receivable was $9.0 million and $11.6 million as of December 31, 2021 and 2022, respectively, and was included in Other assets. The total payable was $12.6 million and $24.5 million as of December 31, 2021 and 2022, respectively, and was included in Other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of Changes in the Company’s Ownership in Affiliates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recognized in the Consolidated Statements of Income or the Consolidated Statements of Comprehensive Income.</w:t>
      </w:r>
    </w:p>
    <w:p>
      <w:pPr>
        <w:spacing w:after="0" w:line="10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occurred during the applicable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7"/>
          </w:tcPr>
          <w:p>
            <w:pPr>
              <w:jc w:val="right"/>
              <w:ind w:right="434"/>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2022</w:t>
            </w:r>
          </w:p>
        </w:tc>
      </w:tr>
      <w:tr>
        <w:trPr>
          <w:trHeight w:val="26"/>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(Decrease) increase in controlling interest paid-in capital from Affiliate equity issuances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3"/>
              </w:rPr>
              <w:t>(17.5)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controlling interest paid-in capital from Affiliate equity purchases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3"/>
              </w:rPr>
              <w:t>(63.2)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income (loss) (controlling interest) including the net impact of Affiliate equity transactions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Benefit Plans</w:t>
      </w:r>
    </w:p>
    <w:p>
      <w:pPr>
        <w:spacing w:after="0" w:line="16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(“IRS”) limits. The Company’s consolidated Affiliates generally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IRS limits. Consolidated expenses related to these plans were $17.6 million, $19.1 million, and $20.9 million for the years ended December 31, 2020, 2021, and 2022, respectively. The controlling interest’s portion of expenses related to these plans were $3.0 million, $3.0 million, and $3.4 million for the years ended December 31, 2020, 2021, and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Company’s consolidated income tax provision includes taxes attributable to the controlling interest and, to a lesser extent, taxes attributable to the non-controlling interests.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consolidated provision for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Current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Intangible-related deferred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(controlling interest)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6"/>
              </w:rPr>
              <w:t>1,493.3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Effective tax rate (controlling interest)</w:t>
            </w:r>
            <w:r>
              <w:rPr>
                <w:rFonts w:ascii="Arial" w:cs="Arial" w:eastAsia="Arial" w:hAnsi="Arial"/>
                <w:sz w:val="9"/>
                <w:szCs w:val="9"/>
                <w:color w:val="auto"/>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25.6 %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color w:val="auto"/>
              </w:rPr>
              <w:t>28.9 %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9"/>
          <w:szCs w:val="9"/>
          <w:color w:val="auto"/>
        </w:rPr>
      </w:pPr>
      <w:r>
        <w:rPr>
          <w:rFonts w:ascii="Arial" w:cs="Arial" w:eastAsia="Arial" w:hAnsi="Arial"/>
          <w:sz w:val="18"/>
          <w:szCs w:val="18"/>
          <w:color w:val="auto"/>
        </w:rPr>
        <w:t>Taxes attributable to the controlling interest divided by income before income taxes (controlling interest).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provision for income taxes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11"/>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For financial reporting purposes, Income before income taxes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11"/>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442.8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6"/>
              </w:rPr>
              <w:t>The following table reconciles the U.S. federal statutory tax rate to the Company’s effective tax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10"/>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tax rate</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Compensation plans</w:t>
            </w:r>
          </w:p>
        </w:tc>
        <w:tc>
          <w:tcPr>
            <w:tcW w:w="1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tax laws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allowances</w:t>
            </w:r>
          </w:p>
        </w:tc>
        <w:tc>
          <w:tcPr>
            <w:tcW w:w="1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BPEA</w:t>
            </w:r>
            <w:r>
              <w:rPr>
                <w:rFonts w:ascii="Arial" w:cs="Arial" w:eastAsia="Arial" w:hAnsi="Arial"/>
                <w:sz w:val="9"/>
                <w:szCs w:val="9"/>
                <w:color w:val="auto"/>
              </w:rPr>
              <w:t>(1)</w:t>
            </w:r>
          </w:p>
        </w:tc>
        <w:tc>
          <w:tcPr>
            <w:tcW w:w="180" w:type="dxa"/>
            <w:vAlign w:val="bottom"/>
          </w:tcPr>
          <w:p>
            <w:pPr>
              <w:spacing w:after="0"/>
              <w:rPr>
                <w:sz w:val="19"/>
                <w:szCs w:val="19"/>
                <w:color w:val="auto"/>
              </w:rPr>
            </w:pPr>
          </w:p>
        </w:tc>
        <w:tc>
          <w:tcPr>
            <w:tcW w:w="9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 divestments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Changes in U.S. tax provision to return</w:t>
            </w:r>
          </w:p>
        </w:tc>
        <w:tc>
          <w:tcPr>
            <w:tcW w:w="1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Effective tax rate (controlling interest)</w:t>
            </w:r>
          </w:p>
        </w:tc>
        <w:tc>
          <w:tcPr>
            <w:tcW w:w="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25.6 %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income from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16.0 %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940" w:hanging="332"/>
        <w:spacing w:after="0" w:line="277" w:lineRule="auto"/>
        <w:tabs>
          <w:tab w:leader="none" w:pos="327" w:val="left"/>
        </w:tabs>
        <w:numPr>
          <w:ilvl w:val="0"/>
          <w:numId w:val="47"/>
        </w:numPr>
        <w:rPr>
          <w:rFonts w:ascii="Arial" w:cs="Arial" w:eastAsia="Arial" w:hAnsi="Arial"/>
          <w:sz w:val="9"/>
          <w:szCs w:val="9"/>
          <w:color w:val="auto"/>
        </w:rPr>
      </w:pPr>
      <w:r>
        <w:rPr>
          <w:rFonts w:ascii="Arial" w:cs="Arial" w:eastAsia="Arial" w:hAnsi="Arial"/>
          <w:sz w:val="18"/>
          <w:szCs w:val="18"/>
          <w:color w:val="auto"/>
        </w:rPr>
        <w:t>Reflective of the BPEA Transaction gain of $641.9 million and realized and unrealized gains on EQT ordinary shares of $43.8 million and $57.9 million, respectively.</w:t>
      </w:r>
    </w:p>
    <w:p>
      <w:pPr>
        <w:spacing w:after="0" w:line="103"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Company’s effective tax rate (controlling interest) in 2020 is not significantly different from the marginal tax rate. The effective tax rate (controlling interest) in 2021 is higher than the marginal tax rate, primarily due to non-deductible compensation expense and an increase in deferred tax expense resulting from the revaluation of certain deferred tax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due to an increase in the UK tax rate enacted during 2021. The effective tax rate (controlling interest) in 2022 is lower than the marginal rate primarily due to the tax benefits of foreign operations and a state tax benefit related to the BPEA Transaction.</w:t>
      </w:r>
    </w:p>
    <w:p>
      <w:pPr>
        <w:spacing w:after="0" w:line="10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Deferred income tax liability (net) reflects the expected future tax consequences of temporary differences between the financial reporting bases and tax bases of the Company’s assets and liabilities. The significant components of the Company’s Deferred income tax liability (net)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6"/>
                <w:szCs w:val="16"/>
                <w:color w:val="auto"/>
              </w:rPr>
            </w:pPr>
          </w:p>
        </w:tc>
      </w:tr>
      <w:tr>
        <w:trPr>
          <w:trHeight w:val="26"/>
        </w:trPr>
        <w:tc>
          <w:tcPr>
            <w:tcW w:w="9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b w:val="1"/>
                <w:bCs w:val="1"/>
                <w:color w:val="auto"/>
                <w:w w:val="83"/>
              </w:rPr>
              <w:t>2022</w:t>
            </w:r>
          </w:p>
        </w:tc>
      </w:tr>
      <w:tr>
        <w:trPr>
          <w:trHeight w:val="26"/>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loss carryforwards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Foreign loss carryforwards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benefit of uncertain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credits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9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9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9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Non-deductible intangible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convertible securities interest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r>
      <w:tr>
        <w:trPr>
          <w:trHeight w:val="248"/>
        </w:trPr>
        <w:tc>
          <w:tcPr>
            <w:tcW w:w="9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Deferred income tax liability (net)</w:t>
            </w:r>
            <w:r>
              <w:rPr>
                <w:rFonts w:ascii="Arial" w:cs="Arial" w:eastAsia="Arial" w:hAnsi="Arial"/>
                <w:sz w:val="9"/>
                <w:szCs w:val="9"/>
                <w:color w:val="auto"/>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jc w:val="both"/>
        <w:ind w:left="340" w:right="120" w:hanging="332"/>
        <w:spacing w:after="0" w:line="342" w:lineRule="auto"/>
        <w:tabs>
          <w:tab w:leader="none" w:pos="327" w:val="left"/>
        </w:tabs>
        <w:numPr>
          <w:ilvl w:val="0"/>
          <w:numId w:val="48"/>
        </w:numPr>
        <w:rPr>
          <w:rFonts w:ascii="Arial" w:cs="Arial" w:eastAsia="Arial" w:hAnsi="Arial"/>
          <w:sz w:val="8"/>
          <w:szCs w:val="8"/>
          <w:color w:val="auto"/>
        </w:rPr>
      </w:pPr>
      <w:r>
        <w:rPr>
          <w:rFonts w:ascii="Arial" w:cs="Arial" w:eastAsia="Arial" w:hAnsi="Arial"/>
          <w:sz w:val="16"/>
          <w:szCs w:val="16"/>
          <w:color w:val="auto"/>
        </w:rPr>
        <w:t>As of December 31, 2021 and 2022, foreign loss carryforwards of $22.2 million (net of a $20.3 million valuation allowance) and $20.0 million (net of a $16.5 million valuation allowance), respectively, are presented within Other assets as they represent a net deferred tax asset in a foreign jurisdiction.</w:t>
      </w:r>
    </w:p>
    <w:p>
      <w:pPr>
        <w:spacing w:after="0" w:line="5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December 31, 2022, the Company had available state net operating loss carryforwards of $238.8 million, a majority of which will expire over seven years to 12 years. As of December 31, 2022, the Company had foreign loss carryforwards of $75.7 million, of which $58.8 million will expire over ten years to 18 years and $16.9 million will carry forward indefinitely. As of December 31, 2022, the Company had foreign tax credit carryforwards of $15.4 million which will expire over six years to ten years.</w:t>
      </w:r>
    </w:p>
    <w:p>
      <w:pPr>
        <w:spacing w:after="0" w:line="11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believed it was more-likely-than-not that the benefit from certain state and foreign loss carryforwards and foreign tax credit carryforwards would not be fully realized, and, as of December 31, 2022, had valuation allowances of $16.1 million, $16.5 million, and $15.4 million on the state and foreign loss carryforwards and the foreign tax credit carryforwards, respectively. For the years ended December 31, 2021 and 2022, the Company increased its valuation allowance $8.3 million and $4.2 million, respectively.</w:t>
      </w:r>
    </w:p>
    <w:p>
      <w:pPr>
        <w:spacing w:after="0" w:line="10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estimates and assumptions regarding the realization of its state and foreign loss carryforwards do not contemplate certain changes in ownership of the Company’s stock which could limit the utilization of these carryforwards.</w:t>
      </w:r>
    </w:p>
    <w:p>
      <w:pPr>
        <w:spacing w:after="0" w:line="10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does not provide for U.S. income taxes on the excess of the financial reporting bases over tax bases in the Company’s investments in foreign subsidiaries considered permanent in duration. Such amount would generally become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2022, the estimated amount of such difference was $322.9 million.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changes in unrecognized tax benefits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26"/>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current year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prior years’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Reduction for prior years’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statute of limitations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Included in the balance of unrecognized tax benefits as of December 31, 2020, 2021, and 2022 were $63.5 million, $52.4 million, and $49.6 million, respectively, of tax benefits that, if recognized, would favorably affect the Company’s effective tax rate (controlling interest). As of December 31, 2022 certain of these benefits, if realized, would be offset by the utilization of indirect tax benefits, for which the Company has accrued deferred tax assets of $12.6 million.</w:t>
      </w:r>
    </w:p>
    <w:p>
      <w:pPr>
        <w:spacing w:after="0" w:line="11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Company records accrued interest and penalties, if any, related to unrecognized tax benefits in Income tax expense. For the years ended December 31, 2020, 2021, and 2022 interest and penalties related to unrecognized tax benefits were $0.8 million, $(0.4) million, and $2.6 million, respectively. As of December 31, 2021 and 2022, the Company accrued interest and penalties related to unrecognized tax benefits of $11.0 million and $13.6 million, respectively.</w:t>
      </w:r>
    </w:p>
    <w:p>
      <w:pPr>
        <w:spacing w:after="0" w:line="11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is subject to U.S. federal, state and local, and foreign income tax in multiple jurisdictions and is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w:t>
      </w:r>
    </w:p>
    <w:p>
      <w:pPr>
        <w:spacing w:after="0" w:line="16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is a reconciliation of the numerator and denominator used in the calculation of basic and diluted earnings per share available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hypothetical settlement of Redeemable non-controlling interests, net of tax</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on junior convertible securities, net of taxes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 as adjusted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Effect of dilutive instruments: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 units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Hypothetical issuance of shares to settle Redeemable non-controlling interests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convertible securities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Average shares outstanding (diluted) in the table above excludes stock options and restricted stock units that have not met certain performance conditions and instruments that have an anti-dilutive effect on Earnings per share (diluted). The following is a summary of items excluded from the denominator in the table above:</w:t>
      </w:r>
    </w:p>
    <w:p>
      <w:pPr>
        <w:spacing w:after="0" w:line="175"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32385</wp:posOffset>
            </wp:positionV>
            <wp:extent cx="2065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Junior convertible securities</w:t>
            </w: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to settle Redeemable non-controlling interests</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46"/>
        </w:trPr>
        <w:tc>
          <w:tcPr>
            <w:tcW w:w="7800" w:type="dxa"/>
            <w:vAlign w:val="bottom"/>
          </w:tcPr>
          <w:p>
            <w:pPr>
              <w:spacing w:after="0"/>
              <w:rPr>
                <w:sz w:val="20"/>
                <w:szCs w:val="20"/>
                <w:color w:val="auto"/>
              </w:rPr>
            </w:pPr>
            <w:r>
              <w:rPr>
                <w:rFonts w:ascii="Arial" w:cs="Arial" w:eastAsia="Arial" w:hAnsi="Arial"/>
                <w:sz w:val="18"/>
                <w:szCs w:val="18"/>
                <w:b w:val="1"/>
                <w:bCs w:val="1"/>
                <w:color w:val="auto"/>
              </w:rPr>
              <w:t>22. Comprehensive Income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940" w:type="dxa"/>
            <w:vAlign w:val="bottom"/>
            <w:gridSpan w:val="5"/>
          </w:tcPr>
          <w:p>
            <w:pPr>
              <w:ind w:left="340"/>
              <w:spacing w:after="0"/>
              <w:rPr>
                <w:sz w:val="20"/>
                <w:szCs w:val="20"/>
                <w:color w:val="auto"/>
              </w:rPr>
            </w:pPr>
            <w:r>
              <w:rPr>
                <w:rFonts w:ascii="Arial" w:cs="Arial" w:eastAsia="Arial" w:hAnsi="Arial"/>
                <w:sz w:val="18"/>
                <w:szCs w:val="18"/>
                <w:color w:val="auto"/>
                <w:w w:val="96"/>
              </w:rPr>
              <w:t>The following tables present the tax effects allocated to each component of Other comprehensive income (loss):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10"/>
          </w:tcPr>
          <w:p>
            <w:pPr>
              <w:jc w:val="center"/>
              <w:ind w:right="94"/>
              <w:spacing w:after="0"/>
              <w:rPr>
                <w:sz w:val="20"/>
                <w:szCs w:val="20"/>
                <w:color w:val="auto"/>
              </w:rPr>
            </w:pPr>
            <w:r>
              <w:rPr>
                <w:rFonts w:ascii="Arial" w:cs="Arial" w:eastAsia="Arial" w:hAnsi="Arial"/>
                <w:sz w:val="14"/>
                <w:szCs w:val="14"/>
                <w:b w:val="1"/>
                <w:bCs w:val="1"/>
                <w:color w:val="auto"/>
                <w:w w:val="92"/>
              </w:rPr>
              <w:t>For the Year Ended December 31, 2020</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Pre-Tax</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Tax (Expense)</w:t>
            </w:r>
          </w:p>
        </w:tc>
        <w:tc>
          <w:tcPr>
            <w:tcW w:w="160" w:type="dxa"/>
            <w:vAlign w:val="bottom"/>
          </w:tcPr>
          <w:p>
            <w:pPr>
              <w:spacing w:after="0"/>
              <w:rPr>
                <w:sz w:val="11"/>
                <w:szCs w:val="11"/>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10"/>
          </w:tcPr>
          <w:p>
            <w:pPr>
              <w:jc w:val="center"/>
              <w:ind w:right="94"/>
              <w:spacing w:after="0"/>
              <w:rPr>
                <w:sz w:val="20"/>
                <w:szCs w:val="20"/>
                <w:color w:val="auto"/>
              </w:rPr>
            </w:pPr>
            <w:r>
              <w:rPr>
                <w:rFonts w:ascii="Arial" w:cs="Arial" w:eastAsia="Arial" w:hAnsi="Arial"/>
                <w:sz w:val="14"/>
                <w:szCs w:val="14"/>
                <w:b w:val="1"/>
                <w:bCs w:val="1"/>
                <w:color w:val="auto"/>
                <w:w w:val="92"/>
              </w:rPr>
              <w:t>For the Year Ended December 31, 2021</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Pre-Tax</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Tax Expense</w:t>
            </w: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25"/>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gain on derivative financial instruments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10"/>
          </w:tcPr>
          <w:p>
            <w:pPr>
              <w:jc w:val="center"/>
              <w:ind w:right="94"/>
              <w:spacing w:after="0"/>
              <w:rPr>
                <w:sz w:val="20"/>
                <w:szCs w:val="20"/>
                <w:color w:val="auto"/>
              </w:rPr>
            </w:pPr>
            <w:r>
              <w:rPr>
                <w:rFonts w:ascii="Arial" w:cs="Arial" w:eastAsia="Arial" w:hAnsi="Arial"/>
                <w:sz w:val="14"/>
                <w:szCs w:val="14"/>
                <w:b w:val="1"/>
                <w:bCs w:val="1"/>
                <w:color w:val="auto"/>
                <w:w w:val="92"/>
              </w:rPr>
              <w:t>For the Year Ended December 31, 2022</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Pre-Tax</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Tax Benefit</w:t>
            </w: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25"/>
        </w:trPr>
        <w:tc>
          <w:tcPr>
            <w:tcW w:w="7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loss on available-for-sale debt securities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net of taxes,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Realized and</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(Losses) on</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3"/>
              </w:rPr>
              <w:t>Losses 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Sale Debt</w:t>
            </w:r>
          </w:p>
        </w:tc>
        <w:tc>
          <w:tcPr>
            <w:tcW w:w="24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(0.3)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left="576"/>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left="616"/>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left="616"/>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loss</w:t>
            </w: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left="576"/>
              <w:spacing w:after="0"/>
              <w:rPr>
                <w:sz w:val="20"/>
                <w:szCs w:val="20"/>
                <w:color w:val="auto"/>
              </w:rPr>
            </w:pPr>
            <w:r>
              <w:rPr>
                <w:rFonts w:ascii="Arial" w:cs="Arial" w:eastAsia="Arial" w:hAnsi="Arial"/>
                <w:sz w:val="18"/>
                <w:szCs w:val="18"/>
                <w:color w:val="auto"/>
                <w:w w:val="91"/>
              </w:rPr>
              <w:t>(0.5)</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Geographic Information</w:t>
      </w:r>
    </w:p>
    <w:p>
      <w:pPr>
        <w:spacing w:after="0" w:line="148" w:lineRule="exact"/>
        <w:rPr>
          <w:sz w:val="20"/>
          <w:szCs w:val="20"/>
          <w:color w:val="auto"/>
        </w:rPr>
      </w:pPr>
    </w:p>
    <w:p>
      <w:pPr>
        <w:ind w:right="260" w:firstLine="324"/>
        <w:spacing w:after="0" w:line="269" w:lineRule="auto"/>
        <w:rPr>
          <w:sz w:val="20"/>
          <w:szCs w:val="20"/>
          <w:color w:val="auto"/>
        </w:rPr>
      </w:pPr>
      <w:r>
        <w:rPr>
          <w:rFonts w:ascii="Arial" w:cs="Arial" w:eastAsia="Arial" w:hAnsi="Arial"/>
          <w:sz w:val="18"/>
          <w:szCs w:val="18"/>
          <w:color w:val="auto"/>
        </w:rPr>
        <w:t>The following table presents Consolidated revenue and Fixed assets (net) of the Company by geographic location. For Affiliates, this information is primarily based on the location of the Affiliates’ headquarters.</w:t>
      </w: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7"/>
          </w:tcPr>
          <w:p>
            <w:pPr>
              <w:jc w:val="right"/>
              <w:ind w:right="474"/>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1,852.6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73"/>
        </w:trPr>
        <w:tc>
          <w:tcPr>
            <w:tcW w:w="7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Fixed assets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(Reductions)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Charged to Costs</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and Expenses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Valuation Allowance</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Allowances</w:t>
            </w:r>
            <w:r>
              <w:rPr>
                <w:rFonts w:ascii="Arial" w:cs="Arial" w:eastAsia="Arial" w:hAnsi="Arial"/>
                <w:sz w:val="9"/>
                <w:szCs w:val="9"/>
                <w:color w:val="auto"/>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7" w:lineRule="exact"/>
        <w:rPr>
          <w:sz w:val="20"/>
          <w:szCs w:val="20"/>
          <w:color w:val="auto"/>
        </w:rPr>
      </w:pPr>
    </w:p>
    <w:p>
      <w:pPr>
        <w:ind w:left="340" w:right="40" w:hanging="332"/>
        <w:spacing w:after="0" w:line="263" w:lineRule="auto"/>
        <w:tabs>
          <w:tab w:leader="none" w:pos="327" w:val="left"/>
        </w:tabs>
        <w:numPr>
          <w:ilvl w:val="0"/>
          <w:numId w:val="49"/>
        </w:numPr>
        <w:rPr>
          <w:rFonts w:ascii="Arial" w:cs="Arial" w:eastAsia="Arial" w:hAnsi="Arial"/>
          <w:sz w:val="9"/>
          <w:szCs w:val="9"/>
          <w:color w:val="auto"/>
        </w:rPr>
      </w:pPr>
      <w:r>
        <w:rPr>
          <w:rFonts w:ascii="Arial" w:cs="Arial" w:eastAsia="Arial" w:hAnsi="Arial"/>
          <w:sz w:val="18"/>
          <w:szCs w:val="18"/>
          <w:color w:val="auto"/>
        </w:rPr>
        <w:t>Other allowances represented reserves on notes received in connection with transfers of the Company’s interests in certain Affiliates, as well as other receivable amounts, which the Company considered uncollectible. Deductions represented the reversal of such reserves upon collection of the amounts due.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required by Rule 13a-15 of the Securities and Exchange Act of 1934, as amended (the “Exchange Act”), as of December 31, 2022,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that, as of the end of the period covered by this report, our disclosure controls and procedures are effective in ensuring that</w:t>
      </w:r>
    </w:p>
    <w:p>
      <w:pPr>
        <w:spacing w:after="0" w:line="1" w:lineRule="exact"/>
        <w:rPr>
          <w:sz w:val="20"/>
          <w:szCs w:val="20"/>
          <w:color w:val="auto"/>
        </w:rPr>
      </w:pPr>
    </w:p>
    <w:p>
      <w:pPr>
        <w:ind w:firstLine="8"/>
        <w:spacing w:after="0" w:line="286"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 concluded that our disclosure controls and procedures were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“Management’s Report on Internal Control over Financial Reporting” in Item 8.</w:t>
      </w:r>
    </w:p>
    <w:p>
      <w:pPr>
        <w:spacing w:after="0" w:line="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independent registered public accounting firm, PricewaterhouseCoopers LLP, has issued an audit report on our internal control over financial reporting, which is included in Item 8.</w:t>
      </w:r>
    </w:p>
    <w:p>
      <w:pPr>
        <w:spacing w:after="0" w:line="10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December 31, 2022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required by this Item will be set forth in our proxy statement for our 2023 annual meeting of stockholders (to be filed within 120 days after December 31, 2022) (the “Proxy Statement”),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62" w:lineRule="exact"/>
        <w:rPr>
          <w:sz w:val="20"/>
          <w:szCs w:val="20"/>
          <w:color w:val="auto"/>
        </w:rPr>
      </w:pPr>
    </w:p>
    <w:p>
      <w:pPr>
        <w:ind w:left="540" w:hanging="330"/>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Financial Statements: See Item 8 of this Annual Report on Form 10-K.</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 Financial Statement Schedule required by Part II, Item 8 is included in Item 8:</w:t>
      </w:r>
    </w:p>
    <w:p>
      <w:pPr>
        <w:spacing w:after="0" w:line="144"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14605</wp:posOffset>
            </wp:positionV>
            <wp:extent cx="6343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10800" w:val="left"/>
        </w:tabs>
        <w:rPr>
          <w:sz w:val="20"/>
          <w:szCs w:val="20"/>
          <w:color w:val="auto"/>
        </w:rPr>
      </w:pPr>
      <w:r>
        <w:rPr>
          <w:rFonts w:ascii="Arial" w:cs="Arial" w:eastAsia="Arial" w:hAnsi="Arial"/>
          <w:sz w:val="18"/>
          <w:szCs w:val="18"/>
          <w:color w:val="auto"/>
        </w:rPr>
        <w:t>Schedule II - Valuation and Qualifying Accounts for the years ended December 31, 2022, 2021 and 2020</w:t>
      </w:r>
      <w:r>
        <w:rPr>
          <w:sz w:val="20"/>
          <w:szCs w:val="20"/>
          <w:color w:val="auto"/>
        </w:rPr>
        <w:tab/>
      </w:r>
      <w:r>
        <w:rPr>
          <w:rFonts w:ascii="Arial" w:cs="Arial" w:eastAsia="Arial" w:hAnsi="Arial"/>
          <w:sz w:val="16"/>
          <w:szCs w:val="16"/>
          <w:u w:val="single" w:color="auto"/>
          <w:color w:val="0000FF"/>
        </w:rPr>
        <w:t>76</w:t>
      </w:r>
    </w:p>
    <w:p>
      <w:pPr>
        <w:spacing w:after="0" w:line="3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 Exhibits: See the Exhibit Index below and incorporated by reference herein.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110">
        <w:r>
          <w:rPr>
            <w:rFonts w:ascii="Arial" w:cs="Arial" w:eastAsia="Arial" w:hAnsi="Arial"/>
            <w:sz w:val="16"/>
            <w:szCs w:val="16"/>
            <w:u w:val="single" w:color="auto"/>
            <w:color w:val="0000FF"/>
          </w:rPr>
          <w:t>Amended and Restated Certificate of Incorporation (incorporated by reference to the Company’s Registration Statement on Form S-1/A (No.</w:t>
        </w:r>
      </w:hyperlink>
    </w:p>
    <w:p>
      <w:pPr>
        <w:spacing w:after="0" w:line="21" w:lineRule="exact"/>
        <w:rPr>
          <w:sz w:val="20"/>
          <w:szCs w:val="20"/>
          <w:color w:val="auto"/>
        </w:rPr>
      </w:pPr>
    </w:p>
    <w:p>
      <w:pPr>
        <w:ind w:left="940"/>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333-34679), filed October 29, 1997)</w:t>
        </w:r>
      </w:hyperlink>
    </w:p>
    <w:p>
      <w:pPr>
        <w:spacing w:after="0" w:line="7" w:lineRule="exact"/>
        <w:rPr>
          <w:sz w:val="20"/>
          <w:szCs w:val="20"/>
          <w:color w:val="auto"/>
        </w:rPr>
      </w:pPr>
    </w:p>
    <w:p>
      <w:pPr>
        <w:ind w:left="940" w:right="260" w:hanging="260"/>
        <w:spacing w:after="0" w:line="24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11">
        <w:r>
          <w:rPr>
            <w:rFonts w:ascii="Arial" w:cs="Arial" w:eastAsia="Arial" w:hAnsi="Arial"/>
            <w:sz w:val="18"/>
            <w:szCs w:val="18"/>
            <w:u w:val="single" w:color="auto"/>
            <w:color w:val="0000FF"/>
          </w:rPr>
          <w:t>Amendment to Amended and Restated Certificate of Incorporation (incorporated by reference to the Company’s Registration Statement on</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Form S-8 (No. 333-129748), filed November 16, 2005)</w:t>
        </w:r>
      </w:hyperlink>
    </w:p>
    <w:p>
      <w:pPr>
        <w:spacing w:after="0" w:line="1" w:lineRule="exact"/>
        <w:rPr>
          <w:sz w:val="20"/>
          <w:szCs w:val="20"/>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112">
        <w:r>
          <w:rPr>
            <w:rFonts w:ascii="Arial" w:cs="Arial" w:eastAsia="Arial" w:hAnsi="Arial"/>
            <w:sz w:val="16"/>
            <w:szCs w:val="16"/>
            <w:u w:val="single" w:color="auto"/>
            <w:color w:val="0000FF"/>
          </w:rPr>
          <w:t>Amendment to Amended and Restated Certificate of Incorporation (incorporated by reference to the Company’s Proxy Statement on Schedule</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14A (No. 001-13459), filed April 28, 2006)</w:t>
        </w:r>
      </w:hyperlink>
    </w:p>
    <w:p>
      <w:pPr>
        <w:spacing w:after="0" w:line="7" w:lineRule="exact"/>
        <w:rPr>
          <w:sz w:val="20"/>
          <w:szCs w:val="20"/>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113">
        <w:r>
          <w:rPr>
            <w:rFonts w:ascii="Arial" w:cs="Arial" w:eastAsia="Arial" w:hAnsi="Arial"/>
            <w:sz w:val="16"/>
            <w:szCs w:val="16"/>
            <w:u w:val="single" w:color="auto"/>
            <w:color w:val="0000FF"/>
          </w:rPr>
          <w:t>Amendment to Amended and Restated Certificate of Incorporation (incorporated by reference to the Company’s Quarterly Report on Form</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10-Q (No. 001-13459), filed August 3, 2017)</w:t>
        </w:r>
      </w:hyperlink>
    </w:p>
    <w:p>
      <w:pPr>
        <w:spacing w:after="0" w:line="7" w:lineRule="exact"/>
        <w:rPr>
          <w:sz w:val="20"/>
          <w:szCs w:val="20"/>
          <w:color w:val="auto"/>
        </w:rPr>
      </w:pPr>
    </w:p>
    <w:p>
      <w:pPr>
        <w:ind w:left="940" w:right="660" w:hanging="260"/>
        <w:spacing w:after="0" w:line="25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3.5 </w:t>
      </w:r>
      <w:hyperlink r:id="rId114">
        <w:r>
          <w:rPr>
            <w:rFonts w:ascii="Arial" w:cs="Arial" w:eastAsia="Arial" w:hAnsi="Arial"/>
            <w:sz w:val="18"/>
            <w:szCs w:val="18"/>
            <w:u w:val="single" w:color="auto"/>
            <w:color w:val="0000FF"/>
          </w:rPr>
          <w:t>Amended and Restated By-laws (incorporated by reference to the Company’s Quarterly Report on Form 10-Q (No. 001-13459), filed</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November 7, 2022)</w:t>
        </w:r>
      </w:hyperlink>
    </w:p>
    <w:p>
      <w:pPr>
        <w:spacing w:after="0" w:line="1" w:lineRule="exact"/>
        <w:rPr>
          <w:sz w:val="20"/>
          <w:szCs w:val="20"/>
          <w:color w:val="auto"/>
        </w:rPr>
      </w:pPr>
    </w:p>
    <w:p>
      <w:pPr>
        <w:ind w:left="940" w:right="40" w:hanging="260"/>
        <w:spacing w:after="0" w:line="24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15">
        <w:r>
          <w:rPr>
            <w:rFonts w:ascii="Arial" w:cs="Arial" w:eastAsia="Arial" w:hAnsi="Arial"/>
            <w:sz w:val="18"/>
            <w:szCs w:val="18"/>
            <w:u w:val="single" w:color="auto"/>
            <w:color w:val="0000FF"/>
          </w:rPr>
          <w:t>Specimen certificate for shares of common stock of the Registrant (incorporated by reference to the Company’s Annual Report on Form 10-K</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(No. 001-13459), filed February 23, 2018)</w:t>
        </w:r>
      </w:hyperlink>
    </w:p>
    <w:p>
      <w:pPr>
        <w:ind w:left="680"/>
        <w:spacing w:after="0"/>
        <w:rPr>
          <w:rFonts w:ascii="Arial" w:cs="Arial" w:eastAsia="Arial" w:hAnsi="Arial"/>
          <w:sz w:val="17"/>
          <w:szCs w:val="17"/>
          <w:color w:val="auto"/>
        </w:rPr>
      </w:pPr>
      <w:r>
        <w:rPr>
          <w:rFonts w:ascii="Arial" w:cs="Arial" w:eastAsia="Arial" w:hAnsi="Arial"/>
          <w:sz w:val="17"/>
          <w:szCs w:val="17"/>
          <w:color w:val="auto"/>
        </w:rPr>
        <w:t xml:space="preserve">4.2 </w:t>
      </w:r>
      <w:hyperlink r:id="rId116">
        <w:r>
          <w:rPr>
            <w:rFonts w:ascii="Arial" w:cs="Arial" w:eastAsia="Arial" w:hAnsi="Arial"/>
            <w:sz w:val="17"/>
            <w:szCs w:val="17"/>
            <w:u w:val="single" w:color="auto"/>
            <w:color w:val="0000FF"/>
          </w:rPr>
          <w:t>Amended and Restated Declaration of Trust of AMG Capital Trust II, dated as of October 17, 2007, by and among Affiliated Managers</w:t>
        </w:r>
      </w:hyperlink>
    </w:p>
    <w:p>
      <w:pPr>
        <w:spacing w:after="0" w:line="9" w:lineRule="exact"/>
        <w:rPr>
          <w:sz w:val="20"/>
          <w:szCs w:val="20"/>
          <w:color w:val="auto"/>
        </w:rPr>
      </w:pPr>
    </w:p>
    <w:p>
      <w:pPr>
        <w:ind w:left="940" w:right="140"/>
        <w:spacing w:after="0" w:line="234"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Group, Inc., U.S. Bank National Association, successor in interest to Bank of America National Trust Delaware, successor by merger to</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LaSalle National Trust Delaware, as Delaware Trustee, U.S. Bank National Association, successor in interest to Bank of America, N.A.,</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successor by merger to LaSalle Bank National Association, as Property Trustee and Institutional Administrator, and the holders from time to</w:t>
        </w:r>
      </w:hyperlink>
    </w:p>
    <w:p>
      <w:pPr>
        <w:spacing w:after="0" w:line="2" w:lineRule="exact"/>
        <w:rPr>
          <w:rFonts w:ascii="Arial" w:cs="Arial" w:eastAsia="Arial" w:hAnsi="Arial"/>
          <w:sz w:val="16"/>
          <w:szCs w:val="16"/>
          <w:u w:val="single" w:color="auto"/>
          <w:color w:val="0000FF"/>
        </w:rPr>
      </w:pPr>
    </w:p>
    <w:p>
      <w:pPr>
        <w:ind w:left="940" w:right="240"/>
        <w:spacing w:after="0" w:line="226"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time of undivided beneficial interests in the assets of AMG Capital Trust II (incorporated by reference to the Company’s Current Report 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Form 8-K (No. 001-13459), filed October 18, 2007)</w:t>
        </w:r>
      </w:hyperlink>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4.3 </w:t>
      </w:r>
      <w:hyperlink r:id="rId117">
        <w:r>
          <w:rPr>
            <w:rFonts w:ascii="Arial" w:cs="Arial" w:eastAsia="Arial" w:hAnsi="Arial"/>
            <w:sz w:val="16"/>
            <w:szCs w:val="16"/>
            <w:u w:val="single" w:color="auto"/>
            <w:color w:val="0000FF"/>
          </w:rPr>
          <w:t>Indenture, dated as of October 17, 2007, by and between Affiliated Managers Group, Inc. and U.S. Bank National Association, successor in</w:t>
        </w:r>
      </w:hyperlink>
    </w:p>
    <w:p>
      <w:pPr>
        <w:spacing w:after="0" w:line="20" w:lineRule="exact"/>
        <w:rPr>
          <w:sz w:val="20"/>
          <w:szCs w:val="20"/>
          <w:color w:val="auto"/>
        </w:rPr>
      </w:pPr>
    </w:p>
    <w:p>
      <w:pPr>
        <w:ind w:left="940" w:right="640"/>
        <w:spacing w:after="0" w:line="226"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interest to Bank of America, N.A., successor by merger to LaSalle Bank National Association, as Debenture Trustee (incorporated by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reference to the Company’s Current Report on Form 8-K (No. 001-13459), filed October 18, 2007)</w:t>
        </w:r>
      </w:hyperlink>
    </w:p>
    <w:p>
      <w:pPr>
        <w:jc w:val="center"/>
        <w:ind w:right="-19"/>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4.4 </w:t>
      </w:r>
      <w:hyperlink r:id="rId118">
        <w:r>
          <w:rPr>
            <w:rFonts w:ascii="Arial" w:cs="Arial" w:eastAsia="Arial" w:hAnsi="Arial"/>
            <w:sz w:val="18"/>
            <w:szCs w:val="18"/>
            <w:u w:val="single" w:color="auto"/>
            <w:color w:val="0000FF"/>
          </w:rPr>
          <w:t>First Supplemental Indenture, dated as of January 10, 2014, by and between Affiliated Managers Group, Inc. and U.S. Bank National</w:t>
        </w:r>
      </w:hyperlink>
    </w:p>
    <w:p>
      <w:pPr>
        <w:spacing w:after="0" w:line="1" w:lineRule="exact"/>
        <w:rPr>
          <w:sz w:val="20"/>
          <w:szCs w:val="20"/>
          <w:color w:val="auto"/>
        </w:rPr>
      </w:pPr>
    </w:p>
    <w:p>
      <w:pPr>
        <w:ind w:left="940" w:right="20"/>
        <w:spacing w:after="0" w:line="218"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Association, successor in interest to Bank of America, N.A., successor by merger to LaSalle Bank National Association, as Debenture Trustee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(incorporated by reference to the Company’s Annual Report on Form 10-K for the fiscal year ended December 31, 2013 (No. 001-13459),</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filed February 27, 2014)</w:t>
        </w:r>
      </w:hyperlink>
    </w:p>
    <w:p>
      <w:pPr>
        <w:spacing w:after="0" w:line="1" w:lineRule="exact"/>
        <w:rPr>
          <w:rFonts w:ascii="Arial" w:cs="Arial" w:eastAsia="Arial" w:hAnsi="Arial"/>
          <w:sz w:val="18"/>
          <w:szCs w:val="18"/>
          <w:u w:val="single" w:color="auto"/>
          <w:color w:val="0000FF"/>
        </w:rPr>
      </w:pPr>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4.5 </w:t>
      </w:r>
      <w:hyperlink r:id="rId119">
        <w:r>
          <w:rPr>
            <w:rFonts w:ascii="Arial" w:cs="Arial" w:eastAsia="Arial" w:hAnsi="Arial"/>
            <w:sz w:val="16"/>
            <w:szCs w:val="16"/>
            <w:u w:val="single" w:color="auto"/>
            <w:color w:val="0000FF"/>
          </w:rPr>
          <w:t>Guarantee Agreement, dated as of October 17, 2007, by and between Affiliated Managers Group, Inc. and U.S. Bank National Association,</w:t>
        </w:r>
      </w:hyperlink>
    </w:p>
    <w:p>
      <w:pPr>
        <w:spacing w:after="0" w:line="20" w:lineRule="exact"/>
        <w:rPr>
          <w:rFonts w:ascii="Arial" w:cs="Arial" w:eastAsia="Arial" w:hAnsi="Arial"/>
          <w:sz w:val="18"/>
          <w:szCs w:val="18"/>
          <w:u w:val="single" w:color="auto"/>
          <w:color w:val="0000FF"/>
        </w:rPr>
      </w:pPr>
    </w:p>
    <w:p>
      <w:pPr>
        <w:ind w:left="940" w:right="980"/>
        <w:spacing w:after="0" w:line="239" w:lineRule="auto"/>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successor in interest to Bank of America, N.A., successor by merger to LaSalle Bank National Association, as Guarantee Trustee</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(incorporated by reference to the Company’s Current Report on Form 8-K (No. 001-13459), filed October 18, 2007)</w:t>
        </w:r>
      </w:hyperlink>
    </w:p>
    <w:p>
      <w:pPr>
        <w:spacing w:after="0" w:line="1" w:lineRule="exact"/>
        <w:rPr>
          <w:sz w:val="20"/>
          <w:szCs w:val="20"/>
          <w:color w:val="auto"/>
        </w:rPr>
      </w:pPr>
    </w:p>
    <w:p>
      <w:pPr>
        <w:ind w:left="940" w:right="280" w:hanging="314"/>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120">
        <w:r>
          <w:rPr>
            <w:rFonts w:ascii="Arial" w:cs="Arial" w:eastAsia="Arial" w:hAnsi="Arial"/>
            <w:sz w:val="17"/>
            <w:szCs w:val="17"/>
            <w:u w:val="single" w:color="auto"/>
            <w:color w:val="0000FF"/>
          </w:rPr>
          <w:t>Indenture, dated as of February 11, 2014, by and between Affiliated Managers Group, Inc. and U.S. Bank National Association, as Trustee</w:t>
        </w:r>
      </w:hyperlink>
      <w:r>
        <w:rPr>
          <w:rFonts w:ascii="Arial" w:cs="Arial" w:eastAsia="Arial" w:hAnsi="Arial"/>
          <w:sz w:val="17"/>
          <w:szCs w:val="17"/>
          <w:color w:val="auto"/>
        </w:rPr>
        <w:t xml:space="preserve"> </w:t>
      </w:r>
      <w:hyperlink r:id="rId120">
        <w:r>
          <w:rPr>
            <w:rFonts w:ascii="Arial" w:cs="Arial" w:eastAsia="Arial" w:hAnsi="Arial"/>
            <w:sz w:val="17"/>
            <w:szCs w:val="17"/>
            <w:u w:val="single" w:color="auto"/>
            <w:color w:val="0000FF"/>
          </w:rPr>
          <w:t>(incorporated by reference to the Company’s Current Report on Form 8-K (No. 001-13459), filed February 11, 2014)</w:t>
        </w:r>
      </w:hyperlink>
    </w:p>
    <w:p>
      <w:pPr>
        <w:spacing w:after="0" w:line="1"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4.7 </w:t>
      </w:r>
      <w:hyperlink r:id="rId121">
        <w:r>
          <w:rPr>
            <w:rFonts w:ascii="Arial" w:cs="Arial" w:eastAsia="Arial" w:hAnsi="Arial"/>
            <w:sz w:val="16"/>
            <w:szCs w:val="16"/>
            <w:u w:val="single" w:color="auto"/>
            <w:color w:val="0000FF"/>
          </w:rPr>
          <w:t>Supplemental Indenture related to the 4.250% Senior Notes due 2024, dated as of February 11, 2014, by and between Affiliated Managers</w:t>
        </w:r>
      </w:hyperlink>
    </w:p>
    <w:p>
      <w:pPr>
        <w:spacing w:after="0" w:line="20" w:lineRule="exact"/>
        <w:rPr>
          <w:sz w:val="20"/>
          <w:szCs w:val="20"/>
          <w:color w:val="auto"/>
        </w:rPr>
      </w:pPr>
    </w:p>
    <w:p>
      <w:pPr>
        <w:ind w:left="940" w:right="80"/>
        <w:spacing w:after="0" w:line="226"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Group, Inc. and U.S. Bank National Association, as Trustee, including the form of Global Note attached as Annex A thereto (incorporated by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reference to the Company’s Current Report on Form 8-K (No. 001-13459), filed February 11, 2014)</w:t>
        </w:r>
      </w:hyperlink>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4.8 </w:t>
      </w:r>
      <w:hyperlink r:id="rId122">
        <w:r>
          <w:rPr>
            <w:rFonts w:ascii="Arial" w:cs="Arial" w:eastAsia="Arial" w:hAnsi="Arial"/>
            <w:sz w:val="17"/>
            <w:szCs w:val="17"/>
            <w:u w:val="single" w:color="auto"/>
            <w:color w:val="0000FF"/>
          </w:rPr>
          <w:t>Second Supplemental Indenture related to the 3.500% Senior Notes due 2025, dated as of February 13, 2015, by and between Affiliated</w:t>
        </w:r>
      </w:hyperlink>
    </w:p>
    <w:p>
      <w:pPr>
        <w:spacing w:after="0" w:line="9" w:lineRule="exact"/>
        <w:rPr>
          <w:sz w:val="20"/>
          <w:szCs w:val="20"/>
          <w:color w:val="auto"/>
        </w:rPr>
      </w:pPr>
    </w:p>
    <w:p>
      <w:pPr>
        <w:ind w:left="940" w:right="560"/>
        <w:spacing w:after="0" w:line="239" w:lineRule="auto"/>
        <w:rPr>
          <w:rFonts w:ascii="Arial" w:cs="Arial" w:eastAsia="Arial" w:hAnsi="Arial"/>
          <w:sz w:val="17"/>
          <w:szCs w:val="17"/>
          <w:u w:val="single" w:color="auto"/>
          <w:color w:val="0000FF"/>
        </w:rPr>
      </w:pPr>
      <w:hyperlink r:id="rId122">
        <w:r>
          <w:rPr>
            <w:rFonts w:ascii="Arial" w:cs="Arial" w:eastAsia="Arial" w:hAnsi="Arial"/>
            <w:sz w:val="17"/>
            <w:szCs w:val="17"/>
            <w:u w:val="single" w:color="auto"/>
            <w:color w:val="0000FF"/>
          </w:rPr>
          <w:t>Managers Group, Inc. and U.S. Bank National Association, as Trustee, including the form of Global Note attached as Annex A thereto</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(incorporated by reference to the Company’s Current Report on Form 8-K (No. 001-13459), filed February 13, 2015)</w:t>
        </w:r>
      </w:hyperlink>
    </w:p>
    <w:p>
      <w:pPr>
        <w:spacing w:after="0" w:line="1" w:lineRule="exact"/>
        <w:rPr>
          <w:sz w:val="20"/>
          <w:szCs w:val="20"/>
          <w:color w:val="auto"/>
        </w:rPr>
      </w:pPr>
    </w:p>
    <w:p>
      <w:pPr>
        <w:ind w:left="940" w:right="280" w:hanging="314"/>
        <w:spacing w:after="0" w:line="27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4.9 </w:t>
      </w:r>
      <w:hyperlink r:id="rId123">
        <w:r>
          <w:rPr>
            <w:rFonts w:ascii="Arial" w:cs="Arial" w:eastAsia="Arial" w:hAnsi="Arial"/>
            <w:sz w:val="16"/>
            <w:szCs w:val="16"/>
            <w:u w:val="single" w:color="auto"/>
            <w:color w:val="0000FF"/>
          </w:rPr>
          <w:t>Indenture, dated as of March 27, 2019, by and between Affiliated Managers Group, Inc., as issuer, and U.S. Bank National Association, as</w:t>
        </w:r>
      </w:hyperlink>
      <w:r>
        <w:rPr>
          <w:rFonts w:ascii="Arial" w:cs="Arial" w:eastAsia="Arial" w:hAnsi="Arial"/>
          <w:sz w:val="16"/>
          <w:szCs w:val="16"/>
          <w:color w:val="auto"/>
        </w:rPr>
        <w:t xml:space="preserve"> </w:t>
      </w:r>
      <w:hyperlink r:id="rId123">
        <w:r>
          <w:rPr>
            <w:rFonts w:ascii="Arial" w:cs="Arial" w:eastAsia="Arial" w:hAnsi="Arial"/>
            <w:sz w:val="16"/>
            <w:szCs w:val="16"/>
            <w:u w:val="single" w:color="auto"/>
            <w:color w:val="0000FF"/>
          </w:rPr>
          <w:t>trustee (incorporated by reference to the Company’s Current Report on Form 8-K (No. 001-13459), filed March 27, 2019)</w:t>
        </w:r>
      </w:hyperlink>
    </w:p>
    <w:p>
      <w:pPr>
        <w:spacing w:after="0" w:line="1" w:lineRule="exact"/>
        <w:rPr>
          <w:sz w:val="20"/>
          <w:szCs w:val="20"/>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 xml:space="preserve">4.10 </w:t>
      </w:r>
      <w:hyperlink r:id="rId124">
        <w:r>
          <w:rPr>
            <w:rFonts w:ascii="Arial" w:cs="Arial" w:eastAsia="Arial" w:hAnsi="Arial"/>
            <w:sz w:val="17"/>
            <w:szCs w:val="17"/>
            <w:u w:val="single" w:color="auto"/>
            <w:color w:val="0000FF"/>
          </w:rPr>
          <w:t>First Supplemental Indenture related to the 5.875% Junior Subordinated Notes due 2059, dated as of March 27, 2019, between Affiliated</w:t>
        </w:r>
      </w:hyperlink>
    </w:p>
    <w:p>
      <w:pPr>
        <w:spacing w:after="0" w:line="9" w:lineRule="exact"/>
        <w:rPr>
          <w:sz w:val="20"/>
          <w:szCs w:val="20"/>
          <w:color w:val="auto"/>
        </w:rPr>
      </w:pPr>
    </w:p>
    <w:p>
      <w:pPr>
        <w:ind w:left="940" w:right="420"/>
        <w:spacing w:after="0" w:line="239" w:lineRule="auto"/>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Managers Group, Inc., as issuer, and U.S. Bank National Association, as trustee, including the form of Global Note attached as Annex A</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thereto (incorporated by reference to the Company’s Current Report on Form 8-K (No. 001-13459), filed March 27, 2019)</w:t>
        </w:r>
      </w:hyperlink>
    </w:p>
    <w:p>
      <w:pPr>
        <w:spacing w:after="0" w:line="1" w:lineRule="exact"/>
        <w:rPr>
          <w:sz w:val="20"/>
          <w:szCs w:val="20"/>
          <w:color w:val="auto"/>
        </w:rPr>
      </w:pPr>
    </w:p>
    <w:p>
      <w:pPr>
        <w:ind w:left="940" w:right="380" w:hanging="397"/>
        <w:spacing w:after="0" w:line="27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4.11 </w:t>
      </w:r>
      <w:hyperlink r:id="rId125">
        <w:r>
          <w:rPr>
            <w:rFonts w:ascii="Arial" w:cs="Arial" w:eastAsia="Arial" w:hAnsi="Arial"/>
            <w:sz w:val="16"/>
            <w:szCs w:val="16"/>
            <w:u w:val="single" w:color="auto"/>
            <w:color w:val="0000FF"/>
          </w:rPr>
          <w:t>Second Supplemental Indenture related to the 4.750% Junior Subordinated Notes due 2060, dated as of September 23, 2020, between</w:t>
        </w:r>
      </w:hyperlink>
      <w:r>
        <w:rPr>
          <w:rFonts w:ascii="Arial" w:cs="Arial" w:eastAsia="Arial" w:hAnsi="Arial"/>
          <w:sz w:val="16"/>
          <w:szCs w:val="16"/>
          <w:color w:val="auto"/>
        </w:rPr>
        <w:t xml:space="preserve"> </w:t>
      </w:r>
      <w:hyperlink r:id="rId125">
        <w:r>
          <w:rPr>
            <w:rFonts w:ascii="Arial" w:cs="Arial" w:eastAsia="Arial" w:hAnsi="Arial"/>
            <w:sz w:val="16"/>
            <w:szCs w:val="16"/>
            <w:u w:val="single" w:color="auto"/>
            <w:color w:val="0000FF"/>
          </w:rPr>
          <w:t>Affiliated Managers Group, Inc., as issuer, and U.S. Bank National Association, as trustee, including the form of Global Note attached as</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Annex A thereto (incorporated by reference to the Company's Current Report on Form 8-K (No. 001-13459), filed September 23, 2020)</w:t>
        </w:r>
      </w:hyperlink>
    </w:p>
    <w:p>
      <w:pPr>
        <w:spacing w:after="0" w:line="1" w:lineRule="exact"/>
        <w:rPr>
          <w:rFonts w:ascii="Arial" w:cs="Arial" w:eastAsia="Arial" w:hAnsi="Arial"/>
          <w:sz w:val="16"/>
          <w:szCs w:val="16"/>
          <w:color w:val="auto"/>
        </w:rPr>
      </w:pPr>
    </w:p>
    <w:p>
      <w:pPr>
        <w:ind w:left="940" w:right="140" w:hanging="404"/>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26">
        <w:r>
          <w:rPr>
            <w:rFonts w:ascii="Arial" w:cs="Arial" w:eastAsia="Arial" w:hAnsi="Arial"/>
            <w:sz w:val="18"/>
            <w:szCs w:val="18"/>
            <w:u w:val="single" w:color="auto"/>
            <w:color w:val="0000FF"/>
          </w:rPr>
          <w:t>Third Supplemental Indenture, dated as of July 13, 2021, between Affiliated Managers Group, Inc., as issuer, and U.S. Bank National</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Association, as trustee, including the form of Global Note attached as Annex A thereto (incorporated by reference to the Company’s Current</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Report on Form 8-K (No. 001-13459), filed July 13, 2021)</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300" w:hanging="404"/>
        <w:spacing w:after="0" w:line="290"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4.13 </w:t>
      </w:r>
      <w:hyperlink r:id="rId128">
        <w:r>
          <w:rPr>
            <w:rFonts w:ascii="Arial" w:cs="Arial" w:eastAsia="Arial" w:hAnsi="Arial"/>
            <w:sz w:val="16"/>
            <w:szCs w:val="16"/>
            <w:u w:val="single" w:color="auto"/>
            <w:color w:val="0000FF"/>
          </w:rPr>
          <w:t>Indenture for Senior Notes between Affiliated Managers Group, Inc., as issuer, and U.S. Bank National Association, as trustee, dated as of</w:t>
        </w:r>
      </w:hyperlink>
      <w:r>
        <w:rPr>
          <w:rFonts w:ascii="Arial" w:cs="Arial" w:eastAsia="Arial" w:hAnsi="Arial"/>
          <w:sz w:val="16"/>
          <w:szCs w:val="16"/>
          <w:color w:val="auto"/>
        </w:rPr>
        <w:t xml:space="preserve"> </w:t>
      </w:r>
      <w:hyperlink r:id="rId128">
        <w:r>
          <w:rPr>
            <w:rFonts w:ascii="Arial" w:cs="Arial" w:eastAsia="Arial" w:hAnsi="Arial"/>
            <w:sz w:val="16"/>
            <w:szCs w:val="16"/>
            <w:u w:val="single" w:color="auto"/>
            <w:color w:val="0000FF"/>
          </w:rPr>
          <w:t>June 5, 2020 (incorporated by reference to the Company's Current Report on Form 8-K (No. 001-13459), filed June 5, 2020)</w:t>
        </w:r>
      </w:hyperlink>
    </w:p>
    <w:p>
      <w:pPr>
        <w:spacing w:after="0" w:line="1" w:lineRule="exact"/>
        <w:rPr>
          <w:sz w:val="20"/>
          <w:szCs w:val="20"/>
          <w:color w:val="auto"/>
        </w:rPr>
      </w:pPr>
    </w:p>
    <w:p>
      <w:pPr>
        <w:ind w:left="940" w:right="160" w:hanging="404"/>
        <w:spacing w:after="0" w:line="25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129">
        <w:r>
          <w:rPr>
            <w:rFonts w:ascii="Arial" w:cs="Arial" w:eastAsia="Arial" w:hAnsi="Arial"/>
            <w:sz w:val="17"/>
            <w:szCs w:val="17"/>
            <w:u w:val="single" w:color="auto"/>
            <w:color w:val="0000FF"/>
          </w:rPr>
          <w:t>First Supplemental Indenture related to the 3.300% Senior Notes due 2030, dated as of June 5, 2020, between Affiliated Managers Group,</w:t>
        </w:r>
      </w:hyperlink>
      <w:r>
        <w:rPr>
          <w:rFonts w:ascii="Arial" w:cs="Arial" w:eastAsia="Arial" w:hAnsi="Arial"/>
          <w:sz w:val="17"/>
          <w:szCs w:val="17"/>
          <w:color w:val="auto"/>
        </w:rPr>
        <w:t xml:space="preserve"> </w:t>
      </w:r>
      <w:hyperlink r:id="rId129">
        <w:r>
          <w:rPr>
            <w:rFonts w:ascii="Arial" w:cs="Arial" w:eastAsia="Arial" w:hAnsi="Arial"/>
            <w:sz w:val="17"/>
            <w:szCs w:val="17"/>
            <w:u w:val="single" w:color="auto"/>
            <w:color w:val="0000FF"/>
          </w:rPr>
          <w:t>Inc., as issuer, and U.S. Bank National Association, as trustee, including the form of Global Note attached as Annex A thereto (incorporated</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by reference to the Company's Current Report on Form 8-K (No. 001-13459), filed June 5, 2020)</w:t>
        </w:r>
      </w:hyperlink>
    </w:p>
    <w:p>
      <w:pPr>
        <w:spacing w:after="0" w:line="16" w:lineRule="exact"/>
        <w:rPr>
          <w:rFonts w:ascii="Arial" w:cs="Arial" w:eastAsia="Arial" w:hAnsi="Arial"/>
          <w:sz w:val="17"/>
          <w:szCs w:val="17"/>
          <w:color w:val="auto"/>
        </w:rPr>
      </w:pPr>
    </w:p>
    <w:p>
      <w:pPr>
        <w:ind w:left="940" w:right="4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w:t>
      </w:r>
      <w:hyperlink r:id="rId130">
        <w:r>
          <w:rPr>
            <w:rFonts w:ascii="Arial" w:cs="Arial" w:eastAsia="Arial" w:hAnsi="Arial"/>
            <w:sz w:val="18"/>
            <w:szCs w:val="18"/>
            <w:u w:val="single" w:color="auto"/>
            <w:color w:val="0000FF"/>
          </w:rPr>
          <w:t>Description of Registrant’s Securities (incorporated by reference to the Company’s Annual Report on Form 10-K (No. 001-13459), filed</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February 18, 2022)</w:t>
        </w:r>
      </w:hyperlink>
    </w:p>
    <w:p>
      <w:pPr>
        <w:spacing w:after="0" w:line="13" w:lineRule="exact"/>
        <w:rPr>
          <w:sz w:val="20"/>
          <w:szCs w:val="20"/>
          <w:color w:val="auto"/>
        </w:rPr>
      </w:pPr>
    </w:p>
    <w:p>
      <w:pPr>
        <w:ind w:left="940" w:right="2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31">
        <w:r>
          <w:rPr>
            <w:rFonts w:ascii="Arial" w:cs="Arial" w:eastAsia="Arial" w:hAnsi="Arial"/>
            <w:sz w:val="18"/>
            <w:szCs w:val="18"/>
            <w:u w:val="single" w:color="auto"/>
            <w:color w:val="0000FF"/>
          </w:rPr>
          <w:t>Affiliated Managers Group, Inc. Defined Contribution Plan (incorporated by reference to the Company’s Annual Report on Form 10-K for the</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fiscal year ended December 31, 1999 (No. 001-13459), filed March 30, 2000)</w:t>
        </w:r>
      </w:hyperlink>
    </w:p>
    <w:p>
      <w:pPr>
        <w:spacing w:after="0" w:line="13" w:lineRule="exact"/>
        <w:rPr>
          <w:sz w:val="20"/>
          <w:szCs w:val="20"/>
          <w:color w:val="auto"/>
        </w:rPr>
      </w:pPr>
    </w:p>
    <w:p>
      <w:pPr>
        <w:ind w:left="940" w:right="30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132">
        <w:r>
          <w:rPr>
            <w:rFonts w:ascii="Arial" w:cs="Arial" w:eastAsia="Arial" w:hAnsi="Arial"/>
            <w:sz w:val="18"/>
            <w:szCs w:val="18"/>
            <w:u w:val="single" w:color="auto"/>
            <w:color w:val="0000FF"/>
          </w:rPr>
          <w:t>Affiliated Managers Group, Inc. Executive Incentive Plan (incorporated by reference to the Company’s Proxy Statement on Schedule 14A</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(No. 001-13459), filed April 29, 2015)</w:t>
        </w:r>
      </w:hyperlink>
    </w:p>
    <w:p>
      <w:pPr>
        <w:spacing w:after="0" w:line="13" w:lineRule="exact"/>
        <w:rPr>
          <w:sz w:val="20"/>
          <w:szCs w:val="20"/>
          <w:color w:val="auto"/>
        </w:rPr>
      </w:pPr>
    </w:p>
    <w:p>
      <w:pPr>
        <w:ind w:left="940" w:right="16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33">
        <w:r>
          <w:rPr>
            <w:rFonts w:ascii="Arial" w:cs="Arial" w:eastAsia="Arial" w:hAnsi="Arial"/>
            <w:sz w:val="18"/>
            <w:szCs w:val="18"/>
            <w:u w:val="single" w:color="auto"/>
            <w:color w:val="0000FF"/>
          </w:rPr>
          <w:t>Affiliated Managers Group, Inc. Amended and Restated 1997 Stock Option and Incentive Plan (incorporated by reference to the Company’s</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Quarterly Report on Form 10-Q (No. 001-13459), filed May 10, 2004)</w:t>
        </w:r>
      </w:hyperlink>
    </w:p>
    <w:p>
      <w:pPr>
        <w:spacing w:after="0" w:line="13" w:lineRule="exact"/>
        <w:rPr>
          <w:sz w:val="20"/>
          <w:szCs w:val="20"/>
          <w:color w:val="auto"/>
        </w:rPr>
      </w:pPr>
    </w:p>
    <w:p>
      <w:pPr>
        <w:ind w:left="940" w:right="32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134">
        <w:r>
          <w:rPr>
            <w:rFonts w:ascii="Arial" w:cs="Arial" w:eastAsia="Arial" w:hAnsi="Arial"/>
            <w:sz w:val="18"/>
            <w:szCs w:val="18"/>
            <w:u w:val="single" w:color="auto"/>
            <w:color w:val="0000FF"/>
          </w:rPr>
          <w:t>Amendment No. 1 to Affiliated Managers Group, Inc. 1997 Stock Option and Incentive Plan (incorporated by reference to the Company’s</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Quarterly Report on Form 10-Q (No. 001-13459), filed July 31, 2020)</w:t>
        </w:r>
      </w:hyperlink>
    </w:p>
    <w:p>
      <w:pPr>
        <w:spacing w:after="0" w:line="13" w:lineRule="exact"/>
        <w:rPr>
          <w:sz w:val="20"/>
          <w:szCs w:val="20"/>
          <w:color w:val="auto"/>
        </w:rPr>
      </w:pPr>
    </w:p>
    <w:p>
      <w:pPr>
        <w:ind w:left="940" w:right="16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135">
        <w:r>
          <w:rPr>
            <w:rFonts w:ascii="Arial" w:cs="Arial" w:eastAsia="Arial" w:hAnsi="Arial"/>
            <w:sz w:val="18"/>
            <w:szCs w:val="18"/>
            <w:u w:val="single" w:color="auto"/>
            <w:color w:val="0000FF"/>
          </w:rPr>
          <w:t>Affiliated Managers Group, Inc. Amended and Restated 2002 Stock Option and Incentive Plan (incorporated by reference to the Company’s</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Quarterly Report on Form 10-Q (No. 001-13459), filed May 10, 2004)</w:t>
        </w:r>
      </w:hyperlink>
    </w:p>
    <w:p>
      <w:pPr>
        <w:spacing w:after="0" w:line="13" w:lineRule="exact"/>
        <w:rPr>
          <w:sz w:val="20"/>
          <w:szCs w:val="20"/>
          <w:color w:val="auto"/>
        </w:rPr>
      </w:pPr>
    </w:p>
    <w:p>
      <w:pPr>
        <w:ind w:left="940" w:right="32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36">
        <w:r>
          <w:rPr>
            <w:rFonts w:ascii="Arial" w:cs="Arial" w:eastAsia="Arial" w:hAnsi="Arial"/>
            <w:sz w:val="18"/>
            <w:szCs w:val="18"/>
            <w:u w:val="single" w:color="auto"/>
            <w:color w:val="0000FF"/>
          </w:rPr>
          <w:t>Amendment No. 1 to Affiliated Managers Group, Inc. 2002 Stock Option and Incentive Plan (incorporated by reference to the Company’s</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Quarterly Report on Form 10-Q (No. 001-13459), filed July 31, 2020)</w:t>
        </w:r>
      </w:hyperlink>
    </w:p>
    <w:p>
      <w:pPr>
        <w:spacing w:after="0" w:line="13" w:lineRule="exact"/>
        <w:rPr>
          <w:sz w:val="20"/>
          <w:szCs w:val="20"/>
          <w:color w:val="auto"/>
        </w:rPr>
      </w:pPr>
    </w:p>
    <w:p>
      <w:pPr>
        <w:ind w:left="940" w:right="42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37">
        <w:r>
          <w:rPr>
            <w:rFonts w:ascii="Arial" w:cs="Arial" w:eastAsia="Arial" w:hAnsi="Arial"/>
            <w:sz w:val="18"/>
            <w:szCs w:val="18"/>
            <w:u w:val="single" w:color="auto"/>
            <w:color w:val="0000FF"/>
          </w:rPr>
          <w:t>Affiliated Managers Group, Inc. 2006 Stock Option and Incentive Plan (incorporated by reference to the Company’s Proxy Statement on</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Schedule 14A (No. 001-13459), filed April 28, 2006)</w:t>
        </w:r>
      </w:hyperlink>
    </w:p>
    <w:p>
      <w:pPr>
        <w:spacing w:after="0" w:line="13" w:lineRule="exact"/>
        <w:rPr>
          <w:sz w:val="20"/>
          <w:szCs w:val="20"/>
          <w:color w:val="auto"/>
        </w:rPr>
      </w:pPr>
    </w:p>
    <w:p>
      <w:pPr>
        <w:ind w:left="940" w:right="34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38">
        <w:r>
          <w:rPr>
            <w:rFonts w:ascii="Arial" w:cs="Arial" w:eastAsia="Arial" w:hAnsi="Arial"/>
            <w:sz w:val="18"/>
            <w:szCs w:val="18"/>
            <w:u w:val="single" w:color="auto"/>
            <w:color w:val="0000FF"/>
          </w:rPr>
          <w:t>Amendment No. 1 to Affiliated Managers Group, Inc. 2006 Stock Option and Incentive Plan (incorporated by reference to the Company's</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Quarterly Report on Form 10-Q (No. 001-13459), filed July 31, 2020)</w:t>
        </w:r>
      </w:hyperlink>
    </w:p>
    <w:p>
      <w:pPr>
        <w:spacing w:after="0" w:line="13" w:lineRule="exact"/>
        <w:rPr>
          <w:sz w:val="20"/>
          <w:szCs w:val="20"/>
          <w:color w:val="auto"/>
        </w:rPr>
      </w:pPr>
    </w:p>
    <w:p>
      <w:pPr>
        <w:ind w:left="940" w:right="120" w:hanging="44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39">
        <w:r>
          <w:rPr>
            <w:rFonts w:ascii="Arial" w:cs="Arial" w:eastAsia="Arial" w:hAnsi="Arial"/>
            <w:sz w:val="17"/>
            <w:szCs w:val="17"/>
            <w:u w:val="single" w:color="auto"/>
            <w:color w:val="0000FF"/>
          </w:rPr>
          <w:t>Affiliated Managers Group, Inc. Amended and Restated Long-Term Stock and Investment Plan (incorporated by reference to the Company’s</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Annual Report on Form 10-K for the fiscal year ended December 31, 2013 (No. 001-13459), filed February 27, 2014)</w:t>
        </w:r>
      </w:hyperlink>
    </w:p>
    <w:p>
      <w:pPr>
        <w:spacing w:after="0" w:line="1"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40">
        <w:r>
          <w:rPr>
            <w:rFonts w:ascii="Arial" w:cs="Arial" w:eastAsia="Arial" w:hAnsi="Arial"/>
            <w:sz w:val="16"/>
            <w:szCs w:val="16"/>
            <w:u w:val="single" w:color="auto"/>
            <w:color w:val="0000FF"/>
          </w:rPr>
          <w:t>Affiliated Managers Group, Inc. Executive Retention Plan (incorporated by reference to the Company’s Quarterly Report on Form 10-Q (No.</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001-13459), filed November 9, 2005)</w:t>
        </w:r>
      </w:hyperlink>
    </w:p>
    <w:p>
      <w:pPr>
        <w:spacing w:after="0" w:line="20" w:lineRule="exact"/>
        <w:rPr>
          <w:sz w:val="20"/>
          <w:szCs w:val="20"/>
          <w:color w:val="auto"/>
        </w:rPr>
      </w:pPr>
    </w:p>
    <w:p>
      <w:pPr>
        <w:ind w:left="940" w:right="100" w:hanging="523"/>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41">
        <w:r>
          <w:rPr>
            <w:rFonts w:ascii="Arial" w:cs="Arial" w:eastAsia="Arial" w:hAnsi="Arial"/>
            <w:sz w:val="18"/>
            <w:szCs w:val="18"/>
            <w:u w:val="single" w:color="auto"/>
            <w:color w:val="0000FF"/>
          </w:rPr>
          <w:t>Affiliated Managers Group, Inc. Deferred Compensation Plan (incorporated by reference to the Company’s Annual Report on Form 10-K for</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the fiscal year ended December 31, 2008 (No. 001-13459), filed March 2, 2009)</w:t>
        </w:r>
      </w:hyperlink>
    </w:p>
    <w:p>
      <w:pPr>
        <w:spacing w:after="0" w:line="13" w:lineRule="exact"/>
        <w:rPr>
          <w:sz w:val="20"/>
          <w:szCs w:val="20"/>
          <w:color w:val="auto"/>
        </w:rPr>
      </w:pPr>
    </w:p>
    <w:p>
      <w:pPr>
        <w:ind w:left="940" w:right="42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42">
        <w:r>
          <w:rPr>
            <w:rFonts w:ascii="Arial" w:cs="Arial" w:eastAsia="Arial" w:hAnsi="Arial"/>
            <w:sz w:val="18"/>
            <w:szCs w:val="18"/>
            <w:u w:val="single" w:color="auto"/>
            <w:color w:val="0000FF"/>
          </w:rPr>
          <w:t>Affiliated Managers Group, Inc. 2011 Stock Option and Incentive Plan (incorporated by reference to the Company’s Proxy Statement on</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Schedule 14A (No. 001-13459), filed April 19, 2011)</w:t>
        </w:r>
      </w:hyperlink>
    </w:p>
    <w:p>
      <w:pPr>
        <w:spacing w:after="0" w:line="13" w:lineRule="exact"/>
        <w:rPr>
          <w:sz w:val="20"/>
          <w:szCs w:val="20"/>
          <w:color w:val="auto"/>
        </w:rPr>
      </w:pPr>
    </w:p>
    <w:p>
      <w:pPr>
        <w:ind w:left="940" w:right="34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143">
        <w:r>
          <w:rPr>
            <w:rFonts w:ascii="Arial" w:cs="Arial" w:eastAsia="Arial" w:hAnsi="Arial"/>
            <w:sz w:val="18"/>
            <w:szCs w:val="18"/>
            <w:u w:val="single" w:color="auto"/>
            <w:color w:val="0000FF"/>
          </w:rPr>
          <w:t>Amendment No. 1 to Affiliated Managers Group, Inc. 2011 Stock Option and Incentive Plan (incorporated by reference to the Company's</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Quarterly Report on Form 10-Q (No. 001-13459), filed July 31, 2020)</w:t>
        </w:r>
      </w:hyperlink>
    </w:p>
    <w:p>
      <w:pPr>
        <w:spacing w:after="0" w:line="13"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10.14† </w:t>
      </w:r>
      <w:hyperlink r:id="rId144">
        <w:r>
          <w:rPr>
            <w:rFonts w:ascii="Arial" w:cs="Arial" w:eastAsia="Arial" w:hAnsi="Arial"/>
            <w:sz w:val="16"/>
            <w:szCs w:val="16"/>
            <w:u w:val="single" w:color="auto"/>
            <w:color w:val="0000FF"/>
          </w:rPr>
          <w:t>Affiliated Managers Group, Inc. 2013 Incentive Stock Award Plan (incorporated by reference to the Company’s Proxy Statement on Schedule</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14A (No. 001-13459), filed April 30, 2013)</w:t>
        </w:r>
      </w:hyperlink>
    </w:p>
    <w:p>
      <w:pPr>
        <w:spacing w:after="0" w:line="20" w:lineRule="exact"/>
        <w:rPr>
          <w:sz w:val="20"/>
          <w:szCs w:val="20"/>
          <w:color w:val="auto"/>
        </w:rPr>
      </w:pPr>
    </w:p>
    <w:p>
      <w:pPr>
        <w:ind w:left="940" w:right="8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145">
        <w:r>
          <w:rPr>
            <w:rFonts w:ascii="Arial" w:cs="Arial" w:eastAsia="Arial" w:hAnsi="Arial"/>
            <w:sz w:val="18"/>
            <w:szCs w:val="18"/>
            <w:u w:val="single" w:color="auto"/>
            <w:color w:val="0000FF"/>
          </w:rPr>
          <w:t>Amendment No. 1 to Affiliated Managers Group, Inc. 2013 Incentive Stock Award Plan (incorporated by reference to the Company’s Annual</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Report on Form 10-K (No. 001-13459), filed February 28, 2020)</w:t>
        </w:r>
      </w:hyperlink>
    </w:p>
    <w:p>
      <w:pPr>
        <w:spacing w:after="0" w:line="2" w:lineRule="exact"/>
        <w:rPr>
          <w:sz w:val="20"/>
          <w:szCs w:val="20"/>
          <w:color w:val="auto"/>
        </w:rPr>
      </w:pPr>
    </w:p>
    <w:p>
      <w:pPr>
        <w:ind w:left="940" w:right="2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46">
        <w:r>
          <w:rPr>
            <w:rFonts w:ascii="Arial" w:cs="Arial" w:eastAsia="Arial" w:hAnsi="Arial"/>
            <w:sz w:val="18"/>
            <w:szCs w:val="18"/>
            <w:u w:val="single" w:color="auto"/>
            <w:color w:val="0000FF"/>
          </w:rPr>
          <w:t>Affiliated Managers Group, Inc. 2020 Equity Incentive Plan (incorporated by reference to the Company’s Registration Statement on Form S-8</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(No. 333-240091), filed July 24, 2020)</w:t>
        </w:r>
      </w:hyperlink>
    </w:p>
    <w:p>
      <w:pPr>
        <w:spacing w:after="0" w:line="2" w:lineRule="exact"/>
        <w:rPr>
          <w:sz w:val="20"/>
          <w:szCs w:val="20"/>
          <w:color w:val="auto"/>
        </w:rPr>
      </w:pPr>
    </w:p>
    <w:p>
      <w:pPr>
        <w:ind w:left="940" w:right="2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147">
        <w:r>
          <w:rPr>
            <w:rFonts w:ascii="Arial" w:cs="Arial" w:eastAsia="Arial" w:hAnsi="Arial"/>
            <w:sz w:val="18"/>
            <w:szCs w:val="18"/>
            <w:u w:val="single" w:color="auto"/>
            <w:color w:val="0000FF"/>
          </w:rPr>
          <w:t>Form of Restricted Stock Unit Award Agreement pursuant to Affiliated Managers Group, Inc. 2013 Incentive Stock Award Plan (incorporated</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by reference to the Company’s Annual Report on Form 10-K (No. 001-13459), filed February 28, 2020)</w:t>
        </w:r>
      </w:hyperlink>
    </w:p>
    <w:p>
      <w:pPr>
        <w:spacing w:after="0" w:line="2" w:lineRule="exact"/>
        <w:rPr>
          <w:sz w:val="20"/>
          <w:szCs w:val="20"/>
          <w:color w:val="auto"/>
        </w:rPr>
      </w:pPr>
    </w:p>
    <w:p>
      <w:pPr>
        <w:ind w:left="940" w:right="10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48">
        <w:r>
          <w:rPr>
            <w:rFonts w:ascii="Arial" w:cs="Arial" w:eastAsia="Arial" w:hAnsi="Arial"/>
            <w:sz w:val="18"/>
            <w:szCs w:val="18"/>
            <w:u w:val="single" w:color="auto"/>
            <w:color w:val="0000FF"/>
          </w:rPr>
          <w:t>Form of Stock Option Agreement pursuant to Affiliated Managers Group, Inc. Stock Option and Incentive Plan (incorporated by reference to</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FF"/>
          </w:rPr>
          <w:t>the Company’s Quarterly Report on Form 10-Q (No. 001-13459), filed July 31, 2020)</w:t>
        </w:r>
      </w:hyperlink>
    </w:p>
    <w:p>
      <w:pPr>
        <w:spacing w:after="0" w:line="2" w:lineRule="exact"/>
        <w:rPr>
          <w:sz w:val="20"/>
          <w:szCs w:val="20"/>
          <w:color w:val="auto"/>
        </w:rPr>
      </w:pPr>
    </w:p>
    <w:p>
      <w:pPr>
        <w:ind w:left="94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49">
        <w:r>
          <w:rPr>
            <w:rFonts w:ascii="Arial" w:cs="Arial" w:eastAsia="Arial" w:hAnsi="Arial"/>
            <w:sz w:val="18"/>
            <w:szCs w:val="18"/>
            <w:u w:val="single" w:color="auto"/>
            <w:color w:val="0000FF"/>
          </w:rPr>
          <w:t>Form of Restricted Stock Unit Award Agreement pursuant to Affiliated Managers Group, Inc. 2002 Stock Option Incentive Plan (incorporated</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by reference to the Company’s Quarterly Report on Form 10-Q (No. 001-13459), filed July 31, 2020)</w:t>
        </w:r>
      </w:hyperlink>
    </w:p>
    <w:p>
      <w:pPr>
        <w:spacing w:after="0" w:line="2" w:lineRule="exact"/>
        <w:rPr>
          <w:sz w:val="20"/>
          <w:szCs w:val="20"/>
          <w:color w:val="auto"/>
        </w:rPr>
      </w:pPr>
    </w:p>
    <w:p>
      <w:pPr>
        <w:ind w:left="940" w:right="18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50">
        <w:r>
          <w:rPr>
            <w:rFonts w:ascii="Arial" w:cs="Arial" w:eastAsia="Arial" w:hAnsi="Arial"/>
            <w:sz w:val="18"/>
            <w:szCs w:val="18"/>
            <w:u w:val="single" w:color="auto"/>
            <w:color w:val="0000FF"/>
          </w:rPr>
          <w:t>Form of Award Agreement pursuant to Affiliated Managers Group, Inc. Incentive Plan (incorporated by reference to the Company’s Annual</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Report on Form 10-K (No. 001-13459), filed February 28, 2020)</w:t>
        </w:r>
      </w:hyperlink>
    </w:p>
    <w:p>
      <w:pPr>
        <w:spacing w:after="0" w:line="2" w:lineRule="exact"/>
        <w:rPr>
          <w:sz w:val="20"/>
          <w:szCs w:val="20"/>
          <w:color w:val="auto"/>
        </w:rPr>
      </w:pPr>
    </w:p>
    <w:p>
      <w:pPr>
        <w:ind w:left="940" w:right="560" w:hanging="530"/>
        <w:spacing w:after="0" w:line="27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151">
        <w:r>
          <w:rPr>
            <w:rFonts w:ascii="Arial" w:cs="Arial" w:eastAsia="Arial" w:hAnsi="Arial"/>
            <w:sz w:val="18"/>
            <w:szCs w:val="18"/>
            <w:u w:val="single" w:color="auto"/>
            <w:color w:val="0000FF"/>
          </w:rPr>
          <w:t>Form of Award Agreement pursuant to Affiliated Managers Group, Inc. Deferred Compensation Plan (incorporated by reference to the</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Company’s Annual Report on Form 10-K (No. 001-13459), filed February 28, 2020)</w:t>
        </w:r>
      </w:hyperlink>
    </w:p>
    <w:p>
      <w:pPr>
        <w:spacing w:after="0" w:line="2" w:lineRule="exact"/>
        <w:rPr>
          <w:sz w:val="20"/>
          <w:szCs w:val="20"/>
          <w:color w:val="auto"/>
        </w:rPr>
      </w:pPr>
    </w:p>
    <w:p>
      <w:pPr>
        <w:ind w:left="940" w:right="24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152">
        <w:r>
          <w:rPr>
            <w:rFonts w:ascii="Arial" w:cs="Arial" w:eastAsia="Arial" w:hAnsi="Arial"/>
            <w:sz w:val="18"/>
            <w:szCs w:val="18"/>
            <w:u w:val="single" w:color="auto"/>
            <w:color w:val="0000FF"/>
          </w:rPr>
          <w:t>Form of Affiliated Managers Group, Inc. Award Agreement (incorporated by reference to the Company’s Annual Report on Form 10-K for</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the fiscal year ended December 31, 2013 (No. 001-13459), filed February 27, 2014)</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26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54">
        <w:r>
          <w:rPr>
            <w:rFonts w:ascii="Arial" w:cs="Arial" w:eastAsia="Arial" w:hAnsi="Arial"/>
            <w:sz w:val="18"/>
            <w:szCs w:val="18"/>
            <w:u w:val="single" w:color="auto"/>
            <w:color w:val="0000FF"/>
          </w:rPr>
          <w:t>Form of Restricted Stock Unit Award Agreement pursuant to Affiliated Managers Group, Inc. 2020 Equity Incentive Plan (incorporated by</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reference to the Company’s Quarterly Report on Form 10-Q (No. 001-13459), filed May 7, 2021)</w:t>
        </w:r>
      </w:hyperlink>
    </w:p>
    <w:p>
      <w:pPr>
        <w:spacing w:after="0" w:line="13" w:lineRule="exact"/>
        <w:rPr>
          <w:sz w:val="20"/>
          <w:szCs w:val="20"/>
          <w:color w:val="auto"/>
        </w:rPr>
      </w:pPr>
    </w:p>
    <w:p>
      <w:pPr>
        <w:ind w:left="940" w:right="520" w:hanging="530"/>
        <w:spacing w:after="0" w:line="25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10.24† </w:t>
      </w:r>
      <w:hyperlink r:id="rId155">
        <w:r>
          <w:rPr>
            <w:rFonts w:ascii="Arial" w:cs="Arial" w:eastAsia="Arial" w:hAnsi="Arial"/>
            <w:sz w:val="17"/>
            <w:szCs w:val="17"/>
            <w:u w:val="single" w:color="auto"/>
            <w:color w:val="0000FF"/>
          </w:rPr>
          <w:t>Form of Restricted Stock Unit Award Agreement for Directors pursuant to Affiliated Managers Group, Inc. 2020 Equity Incentive Plan</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(incorporated by reference to the Company's Quarterly Report on Form 10-Q (No. 001-13459), filed July 31, 2020)</w:t>
        </w:r>
      </w:hyperlink>
    </w:p>
    <w:p>
      <w:pPr>
        <w:spacing w:after="0" w:line="1" w:lineRule="exact"/>
        <w:rPr>
          <w:sz w:val="20"/>
          <w:szCs w:val="20"/>
          <w:color w:val="auto"/>
        </w:rPr>
      </w:pPr>
    </w:p>
    <w:p>
      <w:pPr>
        <w:ind w:left="940" w:right="14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156">
        <w:r>
          <w:rPr>
            <w:rFonts w:ascii="Arial" w:cs="Arial" w:eastAsia="Arial" w:hAnsi="Arial"/>
            <w:sz w:val="18"/>
            <w:szCs w:val="18"/>
            <w:u w:val="single" w:color="auto"/>
            <w:color w:val="0000FF"/>
          </w:rPr>
          <w:t>Form of Stock Option Award Agreement pursuant to Affiliated Managers Group, Inc. 2020 Equity Incentive Plan (incorporated by reference</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to the Company’s Quarterly Report on Form 10-Q (No. 001-13459), filed May 7, 2021)</w:t>
        </w:r>
      </w:hyperlink>
    </w:p>
    <w:p>
      <w:pPr>
        <w:spacing w:after="0" w:line="13" w:lineRule="exact"/>
        <w:rPr>
          <w:sz w:val="20"/>
          <w:szCs w:val="20"/>
          <w:color w:val="auto"/>
        </w:rPr>
      </w:pPr>
    </w:p>
    <w:p>
      <w:pPr>
        <w:ind w:left="940" w:right="10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157">
        <w:r>
          <w:rPr>
            <w:rFonts w:ascii="Arial" w:cs="Arial" w:eastAsia="Arial" w:hAnsi="Arial"/>
            <w:sz w:val="18"/>
            <w:szCs w:val="18"/>
            <w:u w:val="single" w:color="auto"/>
            <w:color w:val="0000FF"/>
          </w:rPr>
          <w:t>Form of Stock Option Award Agreement for Directors pursuant to Affiliated Managers Group, Inc. 2020 Equity Incentive Plan (incorporated</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FF"/>
          </w:rPr>
          <w:t>by reference to the Company's Quarterly Report on Form 10-Q (No. 001-13459), filed July 31, 2020)</w:t>
        </w:r>
      </w:hyperlink>
    </w:p>
    <w:p>
      <w:pPr>
        <w:spacing w:after="0" w:line="13" w:lineRule="exact"/>
        <w:rPr>
          <w:sz w:val="20"/>
          <w:szCs w:val="20"/>
          <w:color w:val="auto"/>
        </w:rPr>
      </w:pPr>
    </w:p>
    <w:p>
      <w:pPr>
        <w:ind w:left="940" w:right="2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158">
        <w:r>
          <w:rPr>
            <w:rFonts w:ascii="Arial" w:cs="Arial" w:eastAsia="Arial" w:hAnsi="Arial"/>
            <w:sz w:val="18"/>
            <w:szCs w:val="18"/>
            <w:u w:val="single" w:color="auto"/>
            <w:color w:val="0000FF"/>
          </w:rPr>
          <w:t>Form of Indemnification Agreement entered into by each Director and Executive Officer (incorporated by reference to the Company’s Annual</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FF"/>
          </w:rPr>
          <w:t>Report on Form 10-K for the fiscal year ended December 31, 2010 (No. 001-13459), filed March 1, 2011)</w:t>
        </w:r>
      </w:hyperlink>
    </w:p>
    <w:p>
      <w:pPr>
        <w:spacing w:after="0" w:line="13"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10.28† </w:t>
      </w:r>
      <w:hyperlink r:id="rId159">
        <w:r>
          <w:rPr>
            <w:rFonts w:ascii="Arial" w:cs="Arial" w:eastAsia="Arial" w:hAnsi="Arial"/>
            <w:sz w:val="16"/>
            <w:szCs w:val="16"/>
            <w:u w:val="single" w:color="auto"/>
            <w:color w:val="0000FF"/>
          </w:rPr>
          <w:t>Annual Director Compensation (incorporated by reference to the Company’s Annual Report on Form 10-K (No. 001-13459), filed February</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18, 2022)</w:t>
        </w:r>
      </w:hyperlink>
    </w:p>
    <w:p>
      <w:pPr>
        <w:spacing w:after="0" w:line="20" w:lineRule="exact"/>
        <w:rPr>
          <w:sz w:val="20"/>
          <w:szCs w:val="20"/>
          <w:color w:val="auto"/>
        </w:rPr>
      </w:pPr>
    </w:p>
    <w:p>
      <w:pPr>
        <w:ind w:left="940" w:right="160" w:hanging="440"/>
        <w:spacing w:after="0" w:line="24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10.29 </w:t>
      </w:r>
      <w:hyperlink r:id="rId160">
        <w:r>
          <w:rPr>
            <w:rFonts w:ascii="Arial" w:cs="Arial" w:eastAsia="Arial" w:hAnsi="Arial"/>
            <w:sz w:val="16"/>
            <w:szCs w:val="16"/>
            <w:u w:val="single" w:color="auto"/>
            <w:color w:val="0000FF"/>
          </w:rPr>
          <w:t>Second Amended and Restated Credit Agreement, dated as of October 25, 2021, by and among Affiliated Managers Group, Inc., Bank of</w:t>
        </w:r>
      </w:hyperlink>
      <w:r>
        <w:rPr>
          <w:rFonts w:ascii="Arial" w:cs="Arial" w:eastAsia="Arial" w:hAnsi="Arial"/>
          <w:sz w:val="16"/>
          <w:szCs w:val="16"/>
          <w:color w:val="auto"/>
        </w:rPr>
        <w:t xml:space="preserve"> </w:t>
      </w:r>
      <w:hyperlink r:id="rId160">
        <w:r>
          <w:rPr>
            <w:rFonts w:ascii="Arial" w:cs="Arial" w:eastAsia="Arial" w:hAnsi="Arial"/>
            <w:sz w:val="16"/>
            <w:szCs w:val="16"/>
            <w:u w:val="single" w:color="auto"/>
            <w:color w:val="0000FF"/>
          </w:rPr>
          <w:t>America, N.A., as administrative agent, letter of credit issuer and swingline lender, and the other lending institutions from time to time party</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thereto, and the exhibits and schedules thereto (incorporated by reference to the Company’s Current Report on Form 8-K (No. 001-13459),</w:t>
        </w:r>
      </w:hyperlink>
    </w:p>
    <w:p>
      <w:pPr>
        <w:spacing w:after="0" w:line="2" w:lineRule="exact"/>
        <w:rPr>
          <w:rFonts w:ascii="Arial" w:cs="Arial" w:eastAsia="Arial" w:hAnsi="Arial"/>
          <w:sz w:val="16"/>
          <w:szCs w:val="16"/>
          <w:color w:val="auto"/>
        </w:rPr>
      </w:pPr>
    </w:p>
    <w:p>
      <w:pPr>
        <w:ind w:left="94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filed October 26, 2021)</w:t>
        </w:r>
      </w:hyperlink>
    </w:p>
    <w:p>
      <w:pPr>
        <w:spacing w:after="0" w:line="7" w:lineRule="exact"/>
        <w:rPr>
          <w:rFonts w:ascii="Arial" w:cs="Arial" w:eastAsia="Arial" w:hAnsi="Arial"/>
          <w:sz w:val="16"/>
          <w:szCs w:val="16"/>
          <w:color w:val="auto"/>
        </w:rPr>
      </w:pPr>
    </w:p>
    <w:p>
      <w:pPr>
        <w:ind w:left="940" w:right="180" w:hanging="440"/>
        <w:spacing w:after="0" w:line="24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10.30 </w:t>
      </w:r>
      <w:hyperlink r:id="rId161">
        <w:r>
          <w:rPr>
            <w:rFonts w:ascii="Arial" w:cs="Arial" w:eastAsia="Arial" w:hAnsi="Arial"/>
            <w:sz w:val="16"/>
            <w:szCs w:val="16"/>
            <w:u w:val="single" w:color="auto"/>
            <w:color w:val="0000FF"/>
          </w:rPr>
          <w:t>First Amendment to Second Amended and Restated Credit Agreement, dated as of November 18, 2022, by and among Affiliated Managers</w:t>
        </w:r>
      </w:hyperlink>
      <w:r>
        <w:rPr>
          <w:rFonts w:ascii="Arial" w:cs="Arial" w:eastAsia="Arial" w:hAnsi="Arial"/>
          <w:sz w:val="16"/>
          <w:szCs w:val="16"/>
          <w:color w:val="auto"/>
        </w:rPr>
        <w:t xml:space="preserve"> </w:t>
      </w:r>
      <w:hyperlink r:id="rId161">
        <w:r>
          <w:rPr>
            <w:rFonts w:ascii="Arial" w:cs="Arial" w:eastAsia="Arial" w:hAnsi="Arial"/>
            <w:sz w:val="16"/>
            <w:szCs w:val="16"/>
            <w:u w:val="single" w:color="auto"/>
            <w:color w:val="0000FF"/>
          </w:rPr>
          <w:t>Group, Inc., Bank of America, N.A., as administrative agent, letter of credit issuer and swingline lender, and the other lending institutions</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from time to time party thereto (incorporated by reference to the Company’s Current Report on Form 8-K (No. 001-13459), filed November</w:t>
        </w:r>
      </w:hyperlink>
    </w:p>
    <w:p>
      <w:pPr>
        <w:spacing w:after="0" w:line="1" w:lineRule="exact"/>
        <w:rPr>
          <w:rFonts w:ascii="Arial" w:cs="Arial" w:eastAsia="Arial" w:hAnsi="Arial"/>
          <w:sz w:val="16"/>
          <w:szCs w:val="16"/>
          <w:color w:val="auto"/>
        </w:rPr>
      </w:pPr>
    </w:p>
    <w:p>
      <w:pPr>
        <w:ind w:left="94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21, 2022)</w:t>
        </w:r>
      </w:hyperlink>
    </w:p>
    <w:p>
      <w:pPr>
        <w:spacing w:after="0" w:line="7" w:lineRule="exact"/>
        <w:rPr>
          <w:rFonts w:ascii="Arial" w:cs="Arial" w:eastAsia="Arial" w:hAnsi="Arial"/>
          <w:sz w:val="16"/>
          <w:szCs w:val="16"/>
          <w:color w:val="auto"/>
        </w:rPr>
      </w:pPr>
    </w:p>
    <w:p>
      <w:pPr>
        <w:ind w:left="940" w:hanging="494"/>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10.31 </w:t>
      </w:r>
      <w:hyperlink r:id="rId162">
        <w:r>
          <w:rPr>
            <w:rFonts w:ascii="Arial" w:cs="Arial" w:eastAsia="Arial" w:hAnsi="Arial"/>
            <w:sz w:val="17"/>
            <w:szCs w:val="17"/>
            <w:u w:val="single" w:color="auto"/>
            <w:color w:val="0000FF"/>
          </w:rPr>
          <w:t>Fourth Amended and Restated Term Credit Agreement, dated as of October 25, 2021, by and among Affiliated Managers Group, Inc., Bank of</w:t>
        </w:r>
      </w:hyperlink>
      <w:r>
        <w:rPr>
          <w:rFonts w:ascii="Arial" w:cs="Arial" w:eastAsia="Arial" w:hAnsi="Arial"/>
          <w:sz w:val="17"/>
          <w:szCs w:val="17"/>
          <w:color w:val="auto"/>
        </w:rPr>
        <w:t xml:space="preserve"> </w:t>
      </w:r>
      <w:hyperlink r:id="rId162">
        <w:r>
          <w:rPr>
            <w:rFonts w:ascii="Arial" w:cs="Arial" w:eastAsia="Arial" w:hAnsi="Arial"/>
            <w:sz w:val="17"/>
            <w:szCs w:val="17"/>
            <w:u w:val="single" w:color="auto"/>
            <w:color w:val="0000FF"/>
          </w:rPr>
          <w:t>America, N.A., as administrative agent, and the other lending institutions from time to time party thereto, and the exhibits and schedules</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thereto (incorporated by reference to the Company’s Current Report on Form 8-K (No. 001-13459), filed October 26, 2021)</w:t>
        </w:r>
      </w:hyperlink>
    </w:p>
    <w:p>
      <w:pPr>
        <w:spacing w:after="0" w:line="14" w:lineRule="exact"/>
        <w:rPr>
          <w:rFonts w:ascii="Arial" w:cs="Arial" w:eastAsia="Arial" w:hAnsi="Arial"/>
          <w:sz w:val="17"/>
          <w:szCs w:val="17"/>
          <w:color w:val="auto"/>
        </w:rPr>
      </w:pPr>
    </w:p>
    <w:p>
      <w:pPr>
        <w:ind w:left="940" w:right="440" w:hanging="494"/>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10.32 </w:t>
      </w:r>
      <w:hyperlink r:id="rId163">
        <w:r>
          <w:rPr>
            <w:rFonts w:ascii="Arial" w:cs="Arial" w:eastAsia="Arial" w:hAnsi="Arial"/>
            <w:sz w:val="17"/>
            <w:szCs w:val="17"/>
            <w:u w:val="single" w:color="auto"/>
            <w:color w:val="0000FF"/>
          </w:rPr>
          <w:t>First Amendment to Fourth Amended and Restated Term Credit Agreement, dated as of November 18, 2022, by and among Affiliated</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FF"/>
          </w:rPr>
          <w:t>Managers Group, Inc., Bank of America, N.A., as administrative agent, and the other lending institutions from time to time party thereto</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(incorporated by reference to the Company’s Current Report on Form 8-K (No. 001-13459), filed November 21, 2022)</w:t>
        </w:r>
      </w:hyperlink>
    </w:p>
    <w:p>
      <w:pPr>
        <w:spacing w:after="0" w:line="15" w:lineRule="exact"/>
        <w:rPr>
          <w:rFonts w:ascii="Arial" w:cs="Arial" w:eastAsia="Arial" w:hAnsi="Arial"/>
          <w:sz w:val="17"/>
          <w:szCs w:val="17"/>
          <w:color w:val="auto"/>
        </w:rPr>
      </w:pPr>
    </w:p>
    <w:p>
      <w:pPr>
        <w:ind w:left="940" w:right="80" w:hanging="49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164">
        <w:r>
          <w:rPr>
            <w:rFonts w:ascii="Arial" w:cs="Arial" w:eastAsia="Arial" w:hAnsi="Arial"/>
            <w:sz w:val="18"/>
            <w:szCs w:val="18"/>
            <w:u w:val="single" w:color="auto"/>
            <w:color w:val="0000FF"/>
          </w:rPr>
          <w:t>Form of Equity Distribution Agreement, dated as of May 27, 2022 (incorporated by reference to the Company’s Current Report on Form 8-K</w:t>
        </w:r>
      </w:hyperlink>
      <w:r>
        <w:rPr>
          <w:rFonts w:ascii="Arial" w:cs="Arial" w:eastAsia="Arial" w:hAnsi="Arial"/>
          <w:sz w:val="18"/>
          <w:szCs w:val="18"/>
          <w:color w:val="auto"/>
        </w:rPr>
        <w:t xml:space="preserve"> </w:t>
      </w:r>
      <w:hyperlink r:id="rId164">
        <w:r>
          <w:rPr>
            <w:rFonts w:ascii="Arial" w:cs="Arial" w:eastAsia="Arial" w:hAnsi="Arial"/>
            <w:sz w:val="18"/>
            <w:szCs w:val="18"/>
            <w:u w:val="single" w:color="auto"/>
            <w:color w:val="0000FF"/>
          </w:rPr>
          <w:t>(No. 001-13459), filed May 27, 2022)</w:t>
        </w:r>
      </w:hyperlink>
    </w:p>
    <w:p>
      <w:pPr>
        <w:spacing w:after="0" w:line="13" w:lineRule="exact"/>
        <w:rPr>
          <w:sz w:val="20"/>
          <w:szCs w:val="20"/>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 xml:space="preserve">10.34 </w:t>
      </w:r>
      <w:hyperlink r:id="rId165">
        <w:r>
          <w:rPr>
            <w:rFonts w:ascii="Arial" w:cs="Arial" w:eastAsia="Arial" w:hAnsi="Arial"/>
            <w:sz w:val="16"/>
            <w:szCs w:val="16"/>
            <w:u w:val="single" w:color="auto"/>
            <w:color w:val="0000FF"/>
          </w:rPr>
          <w:t>Form of Forward Sale Agreement, dated as of May 27, 2022 (incorporated by reference to the Company’s Current Report on Form 8-K (No.</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001-13459), filed May 27, 2022)</w:t>
        </w:r>
      </w:hyperlink>
    </w:p>
    <w:p>
      <w:pPr>
        <w:spacing w:after="0" w:line="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0000FF"/>
        </w:rPr>
        <w:t>Schedule of Subsidiaries*</w:t>
      </w:r>
    </w:p>
    <w:p>
      <w:pPr>
        <w:spacing w:after="0" w:line="23" w:lineRule="exact"/>
        <w:rPr>
          <w:sz w:val="20"/>
          <w:szCs w:val="20"/>
          <w:color w:val="auto"/>
        </w:rPr>
      </w:pPr>
    </w:p>
    <w:p>
      <w:pPr>
        <w:ind w:left="940" w:right="200" w:hanging="215"/>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166">
        <w:r>
          <w:rPr>
            <w:rFonts w:ascii="Arial" w:cs="Arial" w:eastAsia="Arial" w:hAnsi="Arial"/>
            <w:sz w:val="18"/>
            <w:szCs w:val="18"/>
            <w:u w:val="single" w:color="auto"/>
            <w:color w:val="0000FF"/>
          </w:rPr>
          <w:t>Subsidiary Issuers of Guaranteed Securities (incorporated by reference to the Company’s Quarterly Report on Form 10-Q (No. 001-13459),</w:t>
        </w:r>
      </w:hyperlink>
      <w:r>
        <w:rPr>
          <w:rFonts w:ascii="Arial" w:cs="Arial" w:eastAsia="Arial" w:hAnsi="Arial"/>
          <w:sz w:val="18"/>
          <w:szCs w:val="18"/>
          <w:color w:val="auto"/>
        </w:rPr>
        <w:t xml:space="preserve"> </w:t>
      </w:r>
      <w:hyperlink r:id="rId166">
        <w:r>
          <w:rPr>
            <w:rFonts w:ascii="Arial" w:cs="Arial" w:eastAsia="Arial" w:hAnsi="Arial"/>
            <w:sz w:val="18"/>
            <w:szCs w:val="18"/>
            <w:u w:val="single" w:color="auto"/>
            <w:color w:val="0000FF"/>
          </w:rPr>
          <w:t>filed May 7, 2021)</w:t>
        </w:r>
      </w:hyperlink>
    </w:p>
    <w:p>
      <w:pPr>
        <w:spacing w:after="0" w:line="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FF"/>
        </w:rPr>
        <w:t>Consent of PricewaterhouseCoopers LLP*</w:t>
      </w:r>
    </w:p>
    <w:p>
      <w:pPr>
        <w:spacing w:after="0" w:line="23"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Registrant’s Chief Executive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p>
    <w:p>
      <w:pPr>
        <w:spacing w:after="0" w:line="23"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Registrant’s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p>
    <w:p>
      <w:pPr>
        <w:spacing w:after="0" w:line="23"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Registrant’s Chief Executive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p>
    <w:p>
      <w:pPr>
        <w:spacing w:after="0" w:line="23"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of Registrant’s Chief Financial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 The following financial statements from the Registrant’s Annual Report on Form 10-K for the fiscal year ended December 31, 2022 are filed</w:t>
      </w:r>
    </w:p>
    <w:p>
      <w:pPr>
        <w:spacing w:after="0" w:line="7" w:lineRule="exact"/>
        <w:rPr>
          <w:sz w:val="20"/>
          <w:szCs w:val="20"/>
          <w:color w:val="auto"/>
        </w:rPr>
      </w:pPr>
    </w:p>
    <w:p>
      <w:pPr>
        <w:ind w:left="940" w:right="220"/>
        <w:spacing w:after="0" w:line="237" w:lineRule="auto"/>
        <w:rPr>
          <w:sz w:val="20"/>
          <w:szCs w:val="20"/>
          <w:color w:val="auto"/>
        </w:rPr>
      </w:pPr>
      <w:r>
        <w:rPr>
          <w:rFonts w:ascii="Arial" w:cs="Arial" w:eastAsia="Arial" w:hAnsi="Arial"/>
          <w:sz w:val="16"/>
          <w:szCs w:val="16"/>
          <w:color w:val="auto"/>
        </w:rPr>
        <w:t>herewith, formatted in XBRL (Inline eXtensible Business Reporting Language): (i) the Consolidated Statements of Income for the years ended December 31, 2022, 2021, and 2020, (ii) the Consolidated Balance Sheets as of December 31, 2022 and December 31, 2021, (iii) the</w:t>
      </w:r>
    </w:p>
    <w:p>
      <w:pPr>
        <w:spacing w:after="0" w:line="1" w:lineRule="exact"/>
        <w:rPr>
          <w:sz w:val="20"/>
          <w:szCs w:val="20"/>
          <w:color w:val="auto"/>
        </w:rPr>
      </w:pPr>
    </w:p>
    <w:p>
      <w:pPr>
        <w:ind w:left="940" w:right="220"/>
        <w:spacing w:after="0" w:line="239" w:lineRule="auto"/>
        <w:rPr>
          <w:sz w:val="20"/>
          <w:szCs w:val="20"/>
          <w:color w:val="auto"/>
        </w:rPr>
      </w:pPr>
      <w:r>
        <w:rPr>
          <w:rFonts w:ascii="Arial" w:cs="Arial" w:eastAsia="Arial" w:hAnsi="Arial"/>
          <w:sz w:val="17"/>
          <w:szCs w:val="17"/>
          <w:color w:val="auto"/>
        </w:rPr>
        <w:t>Consolidated Statement of Equity for the years ended December 31, 2022, 2021, and 2020, (iv) the Consolidated Statements of Cash Flows for the years ended December 31, 2022, 2021, and 2020, and (v) the Notes to the Consolidated Financial Statements</w:t>
      </w:r>
    </w:p>
    <w:p>
      <w:pPr>
        <w:spacing w:after="0" w:line="13" w:lineRule="exact"/>
        <w:rPr>
          <w:sz w:val="20"/>
          <w:szCs w:val="20"/>
          <w:color w:val="auto"/>
        </w:rPr>
      </w:pPr>
    </w:p>
    <w:p>
      <w:pPr>
        <w:ind w:left="940" w:right="140" w:hanging="356"/>
        <w:spacing w:after="0" w:line="235" w:lineRule="auto"/>
        <w:tabs>
          <w:tab w:leader="none" w:pos="9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fiscal year ended December 31, 2022, formatted in XBRL (Inline eXtensible Business Reporting Language) and contained in Exhibit 101</w:t>
      </w:r>
    </w:p>
    <w:p>
      <w:pPr>
        <w:spacing w:after="0" w:line="80" w:lineRule="exact"/>
        <w:rPr>
          <w:rFonts w:ascii="Arial" w:cs="Arial" w:eastAsia="Arial" w:hAnsi="Arial"/>
          <w:sz w:val="18"/>
          <w:szCs w:val="18"/>
          <w:color w:val="auto"/>
        </w:rPr>
      </w:pP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AFFILIATED MANAGERS GROUP, INC.</w:t>
      </w:r>
    </w:p>
    <w:p>
      <w:pPr>
        <w:ind w:left="656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p>
    <w:p>
      <w:pPr>
        <w:ind w:left="20"/>
        <w:spacing w:after="0"/>
        <w:tabs>
          <w:tab w:leader="none" w:pos="6020" w:val="left"/>
          <w:tab w:leader="none" w:pos="654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9660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Jay C. Horgen</w:t>
      </w:r>
    </w:p>
    <w:p>
      <w:pPr>
        <w:ind w:left="6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7"/>
              </w:rPr>
              <w:t>Title</w:t>
            </w:r>
          </w:p>
        </w:tc>
        <w:tc>
          <w:tcPr>
            <w:tcW w:w="1200" w:type="dxa"/>
            <w:vAlign w:val="bottom"/>
          </w:tcPr>
          <w:p>
            <w:pPr>
              <w:spacing w:after="0"/>
              <w:rPr>
                <w:sz w:val="14"/>
                <w:szCs w:val="14"/>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JAY C. HORGEN</w:t>
            </w:r>
          </w:p>
        </w:tc>
        <w:tc>
          <w:tcPr>
            <w:tcW w:w="436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President, Chief Executive Officer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108"/>
        </w:trPr>
        <w:tc>
          <w:tcPr>
            <w:tcW w:w="1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360" w:type="dxa"/>
            <w:vAlign w:val="bottom"/>
            <w:gridSpan w:val="3"/>
            <w:vMerge w:val="restart"/>
          </w:tcPr>
          <w:p>
            <w:pPr>
              <w:jc w:val="center"/>
              <w:ind w:right="480"/>
              <w:spacing w:after="0"/>
              <w:rPr>
                <w:sz w:val="20"/>
                <w:szCs w:val="20"/>
                <w:color w:val="auto"/>
              </w:rPr>
            </w:pPr>
            <w:r>
              <w:rPr>
                <w:rFonts w:ascii="Arial" w:cs="Arial" w:eastAsia="Arial" w:hAnsi="Arial"/>
                <w:sz w:val="18"/>
                <w:szCs w:val="18"/>
                <w:color w:val="auto"/>
                <w:w w:val="93"/>
              </w:rPr>
              <w:t>(Principal Executive Officer) and Director</w:t>
            </w: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Jay C. Horgen</w:t>
            </w:r>
          </w:p>
        </w:tc>
        <w:tc>
          <w:tcPr>
            <w:tcW w:w="43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66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THOMAS M. WOJCIK</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Chief Financial Officer (Principal Financial and</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128"/>
        </w:trPr>
        <w:tc>
          <w:tcPr>
            <w:tcW w:w="1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360" w:type="dxa"/>
            <w:vAlign w:val="bottom"/>
            <w:gridSpan w:val="3"/>
          </w:tcPr>
          <w:p>
            <w:pPr>
              <w:jc w:val="center"/>
              <w:ind w:right="480"/>
              <w:spacing w:after="0" w:line="128" w:lineRule="exact"/>
              <w:rPr>
                <w:sz w:val="20"/>
                <w:szCs w:val="20"/>
                <w:color w:val="auto"/>
              </w:rPr>
            </w:pPr>
            <w:r>
              <w:rPr>
                <w:rFonts w:ascii="Arial" w:cs="Arial" w:eastAsia="Arial" w:hAnsi="Arial"/>
                <w:sz w:val="13"/>
                <w:szCs w:val="13"/>
                <w:color w:val="auto"/>
              </w:rPr>
              <w:t>Principal</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Thomas M. Wojcik</w:t>
            </w:r>
          </w:p>
        </w:tc>
        <w:tc>
          <w:tcPr>
            <w:tcW w:w="43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Accounting Officer)</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KAREN L. ALVINGHAM</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6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Karen L. Alvingham</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TRACY A. ATKINSON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Tracy A. Atkinson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DWIGHT D. CHURCHILL</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Dwight D. Churchill</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REUBEN JEFFERY III</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Reuben Jeffery III</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FELIX V. MATOS RODRIGUEZ</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Felix V. Matos Rodriguez</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TRACY P. PALANDJIAN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Tracy P. Palandjian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DAVID C. RYAN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17, 2023</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David C. Ryan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320" w:top="125" w:right="4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2022. Subsidiaries of majority- and minority-owned Affiliates are not listed. Minority investments are indicated via asterisk (*).</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Abacos Atlantic Holdings Ltd., a Bahamas international business company</w:t>
      </w:r>
    </w:p>
    <w:p>
      <w:pPr>
        <w:spacing w:after="0" w:line="232" w:lineRule="auto"/>
        <w:rPr>
          <w:sz w:val="20"/>
          <w:szCs w:val="20"/>
          <w:color w:val="auto"/>
        </w:rPr>
      </w:pPr>
      <w:r>
        <w:rPr>
          <w:rFonts w:ascii="Arial" w:cs="Arial" w:eastAsia="Arial" w:hAnsi="Arial"/>
          <w:sz w:val="18"/>
          <w:szCs w:val="18"/>
          <w:color w:val="auto"/>
        </w:rPr>
        <w:t>Abacus Capital Group LLC, a Delaware limited liability company</w:t>
      </w:r>
    </w:p>
    <w:p>
      <w:pPr>
        <w:spacing w:after="0" w:line="235" w:lineRule="auto"/>
        <w:rPr>
          <w:sz w:val="20"/>
          <w:szCs w:val="20"/>
          <w:color w:val="auto"/>
        </w:rPr>
      </w:pPr>
      <w:r>
        <w:rPr>
          <w:rFonts w:ascii="Arial" w:cs="Arial" w:eastAsia="Arial" w:hAnsi="Arial"/>
          <w:sz w:val="18"/>
          <w:szCs w:val="18"/>
          <w:color w:val="auto"/>
        </w:rPr>
        <w:t>Abax Investments Proprietary Limited, a limited liability private company incorporated in South Africa*</w:t>
      </w:r>
    </w:p>
    <w:p>
      <w:pPr>
        <w:spacing w:after="0" w:line="235" w:lineRule="auto"/>
        <w:rPr>
          <w:sz w:val="20"/>
          <w:szCs w:val="20"/>
          <w:color w:val="auto"/>
        </w:rPr>
      </w:pPr>
      <w:r>
        <w:rPr>
          <w:rFonts w:ascii="Arial" w:cs="Arial" w:eastAsia="Arial" w:hAnsi="Arial"/>
          <w:sz w:val="18"/>
          <w:szCs w:val="18"/>
          <w:color w:val="auto"/>
        </w:rPr>
        <w:t>Affiliated Managers Group (Asia) Limited, a Cayman Islands exempted company</w:t>
      </w:r>
    </w:p>
    <w:p>
      <w:pPr>
        <w:spacing w:after="0" w:line="234" w:lineRule="auto"/>
        <w:rPr>
          <w:sz w:val="20"/>
          <w:szCs w:val="20"/>
          <w:color w:val="auto"/>
        </w:rPr>
      </w:pPr>
      <w:r>
        <w:rPr>
          <w:rFonts w:ascii="Arial" w:cs="Arial" w:eastAsia="Arial" w:hAnsi="Arial"/>
          <w:sz w:val="18"/>
          <w:szCs w:val="18"/>
          <w:color w:val="auto"/>
        </w:rPr>
        <w:t>Affiliated Managers Group (Europe) Limited, a Malta limited liability company</w:t>
      </w:r>
    </w:p>
    <w:p>
      <w:pPr>
        <w:spacing w:after="0" w:line="235" w:lineRule="auto"/>
        <w:rPr>
          <w:sz w:val="20"/>
          <w:szCs w:val="20"/>
          <w:color w:val="auto"/>
        </w:rPr>
      </w:pPr>
      <w:r>
        <w:rPr>
          <w:rFonts w:ascii="Arial" w:cs="Arial" w:eastAsia="Arial" w:hAnsi="Arial"/>
          <w:sz w:val="18"/>
          <w:szCs w:val="18"/>
          <w:color w:val="auto"/>
        </w:rPr>
        <w:t>Affiliated Managers Group (Hong Kong) Limited, a limited company incorporated in Hong Kong</w:t>
      </w:r>
    </w:p>
    <w:p>
      <w:pPr>
        <w:spacing w:after="0" w:line="235" w:lineRule="auto"/>
        <w:rPr>
          <w:sz w:val="20"/>
          <w:szCs w:val="20"/>
          <w:color w:val="auto"/>
        </w:rPr>
      </w:pPr>
      <w:r>
        <w:rPr>
          <w:rFonts w:ascii="Arial" w:cs="Arial" w:eastAsia="Arial" w:hAnsi="Arial"/>
          <w:sz w:val="18"/>
          <w:szCs w:val="18"/>
          <w:color w:val="auto"/>
        </w:rPr>
        <w:t>Affiliated Managers Group Limited, a limited company incorporated in the United Kingdom</w:t>
      </w:r>
    </w:p>
    <w:p>
      <w:pPr>
        <w:spacing w:after="0" w:line="235" w:lineRule="auto"/>
        <w:rPr>
          <w:sz w:val="20"/>
          <w:szCs w:val="20"/>
          <w:color w:val="auto"/>
        </w:rPr>
      </w:pPr>
      <w:r>
        <w:rPr>
          <w:rFonts w:ascii="Arial" w:cs="Arial" w:eastAsia="Arial" w:hAnsi="Arial"/>
          <w:sz w:val="18"/>
          <w:szCs w:val="18"/>
          <w:color w:val="auto"/>
        </w:rPr>
        <w:t>Affiliated Managers Group Pty Ltd, a limited company incorporated in Australia</w:t>
      </w:r>
    </w:p>
    <w:p>
      <w:pPr>
        <w:spacing w:after="0" w:line="235" w:lineRule="auto"/>
        <w:rPr>
          <w:sz w:val="20"/>
          <w:szCs w:val="20"/>
          <w:color w:val="auto"/>
        </w:rPr>
      </w:pPr>
      <w:r>
        <w:rPr>
          <w:rFonts w:ascii="Arial" w:cs="Arial" w:eastAsia="Arial" w:hAnsi="Arial"/>
          <w:sz w:val="18"/>
          <w:szCs w:val="18"/>
          <w:color w:val="auto"/>
        </w:rPr>
        <w:t>AMG 2014 Capital LLC, a Delaware limited liability company</w:t>
      </w:r>
    </w:p>
    <w:p>
      <w:pPr>
        <w:spacing w:after="0" w:line="234" w:lineRule="auto"/>
        <w:rPr>
          <w:sz w:val="20"/>
          <w:szCs w:val="20"/>
          <w:color w:val="auto"/>
        </w:rPr>
      </w:pPr>
      <w:r>
        <w:rPr>
          <w:rFonts w:ascii="Arial" w:cs="Arial" w:eastAsia="Arial" w:hAnsi="Arial"/>
          <w:sz w:val="18"/>
          <w:szCs w:val="18"/>
          <w:color w:val="auto"/>
        </w:rPr>
        <w:t>AMG Andros Holdings Ltd., a Bahamas international business company</w:t>
      </w:r>
    </w:p>
    <w:p>
      <w:pPr>
        <w:spacing w:after="0" w:line="235" w:lineRule="auto"/>
        <w:rPr>
          <w:sz w:val="20"/>
          <w:szCs w:val="20"/>
          <w:color w:val="auto"/>
        </w:rPr>
      </w:pPr>
      <w:r>
        <w:rPr>
          <w:rFonts w:ascii="Arial" w:cs="Arial" w:eastAsia="Arial" w:hAnsi="Arial"/>
          <w:sz w:val="18"/>
          <w:szCs w:val="18"/>
          <w:color w:val="auto"/>
        </w:rPr>
        <w:t>AMG Arrow Holdings Ltd., a Bahamas international business company</w:t>
      </w:r>
    </w:p>
    <w:p>
      <w:pPr>
        <w:spacing w:after="0" w:line="235" w:lineRule="auto"/>
        <w:rPr>
          <w:sz w:val="20"/>
          <w:szCs w:val="20"/>
          <w:color w:val="auto"/>
        </w:rPr>
      </w:pPr>
      <w:r>
        <w:rPr>
          <w:rFonts w:ascii="Arial" w:cs="Arial" w:eastAsia="Arial" w:hAnsi="Arial"/>
          <w:sz w:val="18"/>
          <w:szCs w:val="18"/>
          <w:color w:val="auto"/>
        </w:rPr>
        <w:t>AMG Atlantic Holdings Ltd., a Bahamas international business company</w:t>
      </w:r>
    </w:p>
    <w:p>
      <w:pPr>
        <w:spacing w:after="0" w:line="235" w:lineRule="auto"/>
        <w:rPr>
          <w:sz w:val="20"/>
          <w:szCs w:val="20"/>
          <w:color w:val="auto"/>
        </w:rPr>
      </w:pPr>
      <w:r>
        <w:rPr>
          <w:rFonts w:ascii="Arial" w:cs="Arial" w:eastAsia="Arial" w:hAnsi="Arial"/>
          <w:sz w:val="18"/>
          <w:szCs w:val="18"/>
          <w:color w:val="auto"/>
        </w:rPr>
        <w:t>AMG Boston Holdings, LLC, a Delaware limited liability company</w:t>
      </w:r>
    </w:p>
    <w:p>
      <w:pPr>
        <w:spacing w:after="0" w:line="235" w:lineRule="auto"/>
        <w:rPr>
          <w:sz w:val="20"/>
          <w:szCs w:val="20"/>
          <w:color w:val="auto"/>
        </w:rPr>
      </w:pPr>
      <w:r>
        <w:rPr>
          <w:rFonts w:ascii="Arial" w:cs="Arial" w:eastAsia="Arial" w:hAnsi="Arial"/>
          <w:sz w:val="18"/>
          <w:szCs w:val="18"/>
          <w:color w:val="auto"/>
        </w:rPr>
        <w:t>AMG CA Holdings Corp., a New Jersey corporation</w:t>
      </w:r>
    </w:p>
    <w:p>
      <w:pPr>
        <w:spacing w:after="0" w:line="219" w:lineRule="auto"/>
        <w:rPr>
          <w:sz w:val="20"/>
          <w:szCs w:val="20"/>
          <w:color w:val="auto"/>
        </w:rPr>
      </w:pPr>
      <w:r>
        <w:rPr>
          <w:rFonts w:ascii="Arial" w:cs="Arial" w:eastAsia="Arial" w:hAnsi="Arial"/>
          <w:sz w:val="18"/>
          <w:szCs w:val="18"/>
          <w:color w:val="auto"/>
        </w:rPr>
        <w:t>AMG CA Holdings, LLC, a Delaware limited liability company</w:t>
      </w:r>
    </w:p>
    <w:p>
      <w:pPr>
        <w:spacing w:after="0" w:line="235" w:lineRule="auto"/>
        <w:rPr>
          <w:sz w:val="20"/>
          <w:szCs w:val="20"/>
          <w:color w:val="auto"/>
        </w:rPr>
      </w:pPr>
      <w:r>
        <w:rPr>
          <w:rFonts w:ascii="Arial" w:cs="Arial" w:eastAsia="Arial" w:hAnsi="Arial"/>
          <w:sz w:val="18"/>
          <w:szCs w:val="18"/>
          <w:color w:val="auto"/>
        </w:rPr>
        <w:t>AMG CA Holdings LP, a Delaware limited partnership</w:t>
      </w:r>
    </w:p>
    <w:p>
      <w:pPr>
        <w:spacing w:after="0" w:line="234" w:lineRule="auto"/>
        <w:rPr>
          <w:sz w:val="20"/>
          <w:szCs w:val="20"/>
          <w:color w:val="auto"/>
        </w:rPr>
      </w:pPr>
      <w:r>
        <w:rPr>
          <w:rFonts w:ascii="Arial" w:cs="Arial" w:eastAsia="Arial" w:hAnsi="Arial"/>
          <w:sz w:val="18"/>
          <w:szCs w:val="18"/>
          <w:color w:val="auto"/>
        </w:rPr>
        <w:t>AMG Canada Corp., a Nova Scotia corporation</w:t>
      </w:r>
    </w:p>
    <w:p>
      <w:pPr>
        <w:spacing w:after="0" w:line="235" w:lineRule="auto"/>
        <w:rPr>
          <w:sz w:val="20"/>
          <w:szCs w:val="20"/>
          <w:color w:val="auto"/>
        </w:rPr>
      </w:pPr>
      <w:r>
        <w:rPr>
          <w:rFonts w:ascii="Arial" w:cs="Arial" w:eastAsia="Arial" w:hAnsi="Arial"/>
          <w:sz w:val="18"/>
          <w:szCs w:val="18"/>
          <w:color w:val="auto"/>
        </w:rPr>
        <w:t>AMG Canada Holdings LLC, a Delaware limited liability company</w:t>
      </w:r>
    </w:p>
    <w:p>
      <w:pPr>
        <w:spacing w:after="0" w:line="235" w:lineRule="auto"/>
        <w:rPr>
          <w:sz w:val="20"/>
          <w:szCs w:val="20"/>
          <w:color w:val="auto"/>
        </w:rPr>
      </w:pPr>
      <w:r>
        <w:rPr>
          <w:rFonts w:ascii="Arial" w:cs="Arial" w:eastAsia="Arial" w:hAnsi="Arial"/>
          <w:sz w:val="18"/>
          <w:szCs w:val="18"/>
          <w:color w:val="auto"/>
        </w:rPr>
        <w:t>AMG Capital (Cayman) LLC, a Cayman Islands limited liability company</w:t>
      </w:r>
    </w:p>
    <w:p>
      <w:pPr>
        <w:spacing w:after="0" w:line="235" w:lineRule="auto"/>
        <w:rPr>
          <w:sz w:val="20"/>
          <w:szCs w:val="20"/>
          <w:color w:val="auto"/>
        </w:rPr>
      </w:pPr>
      <w:r>
        <w:rPr>
          <w:rFonts w:ascii="Arial" w:cs="Arial" w:eastAsia="Arial" w:hAnsi="Arial"/>
          <w:sz w:val="18"/>
          <w:szCs w:val="18"/>
          <w:color w:val="auto"/>
        </w:rPr>
        <w:t>AMG Conception Holdings 3 Ltd., a Bahamas international business company</w:t>
      </w:r>
    </w:p>
    <w:p>
      <w:pPr>
        <w:spacing w:after="0" w:line="235" w:lineRule="auto"/>
        <w:rPr>
          <w:sz w:val="20"/>
          <w:szCs w:val="20"/>
          <w:color w:val="auto"/>
        </w:rPr>
      </w:pPr>
      <w:r>
        <w:rPr>
          <w:rFonts w:ascii="Arial" w:cs="Arial" w:eastAsia="Arial" w:hAnsi="Arial"/>
          <w:sz w:val="18"/>
          <w:szCs w:val="18"/>
          <w:color w:val="auto"/>
        </w:rPr>
        <w:t>AMG CVC Holdings LLC, a Delaware limited liability company</w:t>
      </w:r>
    </w:p>
    <w:p>
      <w:pPr>
        <w:spacing w:after="0" w:line="234" w:lineRule="auto"/>
        <w:rPr>
          <w:sz w:val="20"/>
          <w:szCs w:val="20"/>
          <w:color w:val="auto"/>
        </w:rPr>
      </w:pPr>
      <w:r>
        <w:rPr>
          <w:rFonts w:ascii="Arial" w:cs="Arial" w:eastAsia="Arial" w:hAnsi="Arial"/>
          <w:sz w:val="18"/>
          <w:szCs w:val="18"/>
          <w:color w:val="auto"/>
        </w:rPr>
        <w:t>AMG Distributors, Inc., a Delaware corporation</w:t>
      </w:r>
    </w:p>
    <w:p>
      <w:pPr>
        <w:spacing w:after="0" w:line="235" w:lineRule="auto"/>
        <w:rPr>
          <w:sz w:val="20"/>
          <w:szCs w:val="20"/>
          <w:color w:val="auto"/>
        </w:rPr>
      </w:pPr>
      <w:r>
        <w:rPr>
          <w:rFonts w:ascii="Arial" w:cs="Arial" w:eastAsia="Arial" w:hAnsi="Arial"/>
          <w:sz w:val="18"/>
          <w:szCs w:val="18"/>
          <w:color w:val="auto"/>
        </w:rPr>
        <w:t>AMG Edison Holdings, LLC, a Delaware limited liability company</w:t>
      </w:r>
    </w:p>
    <w:p>
      <w:pPr>
        <w:spacing w:after="0" w:line="235" w:lineRule="auto"/>
        <w:rPr>
          <w:sz w:val="20"/>
          <w:szCs w:val="20"/>
          <w:color w:val="auto"/>
        </w:rPr>
      </w:pPr>
      <w:r>
        <w:rPr>
          <w:rFonts w:ascii="Arial" w:cs="Arial" w:eastAsia="Arial" w:hAnsi="Arial"/>
          <w:sz w:val="18"/>
          <w:szCs w:val="18"/>
          <w:color w:val="auto"/>
        </w:rPr>
        <w:t>AMG FCMC Holdings, LLC, a Delaware limited liability company</w:t>
      </w:r>
    </w:p>
    <w:p>
      <w:pPr>
        <w:spacing w:after="0" w:line="235" w:lineRule="auto"/>
        <w:rPr>
          <w:sz w:val="20"/>
          <w:szCs w:val="20"/>
          <w:color w:val="auto"/>
        </w:rPr>
      </w:pPr>
      <w:r>
        <w:rPr>
          <w:rFonts w:ascii="Arial" w:cs="Arial" w:eastAsia="Arial" w:hAnsi="Arial"/>
          <w:sz w:val="18"/>
          <w:szCs w:val="18"/>
          <w:color w:val="auto"/>
        </w:rPr>
        <w:t>AMG Funds LLC, a Delaware limited liability company</w:t>
      </w:r>
    </w:p>
    <w:p>
      <w:pPr>
        <w:spacing w:after="0" w:line="235" w:lineRule="auto"/>
        <w:rPr>
          <w:sz w:val="20"/>
          <w:szCs w:val="20"/>
          <w:color w:val="auto"/>
        </w:rPr>
      </w:pPr>
      <w:r>
        <w:rPr>
          <w:rFonts w:ascii="Arial" w:cs="Arial" w:eastAsia="Arial" w:hAnsi="Arial"/>
          <w:sz w:val="18"/>
          <w:szCs w:val="18"/>
          <w:color w:val="auto"/>
        </w:rPr>
        <w:t>AMG Gamma Holdings Ltd., a Bahamas international business company</w:t>
      </w:r>
    </w:p>
    <w:p>
      <w:pPr>
        <w:spacing w:after="0" w:line="234" w:lineRule="auto"/>
        <w:rPr>
          <w:sz w:val="20"/>
          <w:szCs w:val="20"/>
          <w:color w:val="auto"/>
        </w:rPr>
      </w:pPr>
      <w:r>
        <w:rPr>
          <w:rFonts w:ascii="Arial" w:cs="Arial" w:eastAsia="Arial" w:hAnsi="Arial"/>
          <w:sz w:val="18"/>
          <w:szCs w:val="18"/>
          <w:color w:val="auto"/>
        </w:rPr>
        <w:t>AMG Genesis, LLC, a Delaware limited liability company</w:t>
      </w:r>
    </w:p>
    <w:p>
      <w:pPr>
        <w:spacing w:after="0" w:line="220" w:lineRule="auto"/>
        <w:rPr>
          <w:sz w:val="20"/>
          <w:szCs w:val="20"/>
          <w:color w:val="auto"/>
        </w:rPr>
      </w:pPr>
      <w:r>
        <w:rPr>
          <w:rFonts w:ascii="Arial" w:cs="Arial" w:eastAsia="Arial" w:hAnsi="Arial"/>
          <w:sz w:val="18"/>
          <w:szCs w:val="18"/>
          <w:color w:val="auto"/>
        </w:rPr>
        <w:t>AMG Global, Inc., a Delaware corporation</w:t>
      </w:r>
    </w:p>
    <w:p>
      <w:pPr>
        <w:spacing w:after="0" w:line="234" w:lineRule="auto"/>
        <w:rPr>
          <w:sz w:val="20"/>
          <w:szCs w:val="20"/>
          <w:color w:val="auto"/>
        </w:rPr>
      </w:pPr>
      <w:r>
        <w:rPr>
          <w:rFonts w:ascii="Arial" w:cs="Arial" w:eastAsia="Arial" w:hAnsi="Arial"/>
          <w:sz w:val="18"/>
          <w:szCs w:val="18"/>
          <w:color w:val="auto"/>
        </w:rPr>
        <w:t>AMG Gotham Holdings, LLC, a Delaware limited liability company</w:t>
      </w:r>
    </w:p>
    <w:p>
      <w:pPr>
        <w:spacing w:after="0" w:line="235" w:lineRule="auto"/>
        <w:rPr>
          <w:sz w:val="20"/>
          <w:szCs w:val="20"/>
          <w:color w:val="auto"/>
        </w:rPr>
      </w:pPr>
      <w:r>
        <w:rPr>
          <w:rFonts w:ascii="Arial" w:cs="Arial" w:eastAsia="Arial" w:hAnsi="Arial"/>
          <w:sz w:val="18"/>
          <w:szCs w:val="18"/>
          <w:color w:val="auto"/>
        </w:rPr>
        <w:t>AMG GWK Holdings, LLC, a Delaware limited liability company</w:t>
      </w:r>
    </w:p>
    <w:p>
      <w:pPr>
        <w:spacing w:after="0" w:line="235" w:lineRule="auto"/>
        <w:rPr>
          <w:sz w:val="20"/>
          <w:szCs w:val="20"/>
          <w:color w:val="auto"/>
        </w:rPr>
      </w:pPr>
      <w:r>
        <w:rPr>
          <w:rFonts w:ascii="Arial" w:cs="Arial" w:eastAsia="Arial" w:hAnsi="Arial"/>
          <w:sz w:val="18"/>
          <w:szCs w:val="18"/>
          <w:color w:val="auto"/>
        </w:rPr>
        <w:t>AMG ICN Holdings LLC, a Delaware limited liability company</w:t>
      </w:r>
    </w:p>
    <w:p>
      <w:pPr>
        <w:spacing w:after="0" w:line="235" w:lineRule="auto"/>
        <w:rPr>
          <w:sz w:val="20"/>
          <w:szCs w:val="20"/>
          <w:color w:val="auto"/>
        </w:rPr>
      </w:pPr>
      <w:r>
        <w:rPr>
          <w:rFonts w:ascii="Arial" w:cs="Arial" w:eastAsia="Arial" w:hAnsi="Arial"/>
          <w:sz w:val="18"/>
          <w:szCs w:val="18"/>
          <w:color w:val="auto"/>
        </w:rPr>
        <w:t>AMG New York Holdings Corp., a Delaware corporation</w:t>
      </w:r>
    </w:p>
    <w:p>
      <w:pPr>
        <w:spacing w:after="0" w:line="235" w:lineRule="auto"/>
        <w:rPr>
          <w:sz w:val="20"/>
          <w:szCs w:val="20"/>
          <w:color w:val="auto"/>
        </w:rPr>
      </w:pPr>
      <w:r>
        <w:rPr>
          <w:rFonts w:ascii="Arial" w:cs="Arial" w:eastAsia="Arial" w:hAnsi="Arial"/>
          <w:sz w:val="18"/>
          <w:szCs w:val="18"/>
          <w:color w:val="auto"/>
        </w:rPr>
        <w:t>AMG Northeast Holdings, Inc., a Delaware corporation</w:t>
      </w:r>
    </w:p>
    <w:p>
      <w:pPr>
        <w:spacing w:after="0" w:line="234" w:lineRule="auto"/>
        <w:rPr>
          <w:sz w:val="20"/>
          <w:szCs w:val="20"/>
          <w:color w:val="auto"/>
        </w:rPr>
      </w:pPr>
      <w:r>
        <w:rPr>
          <w:rFonts w:ascii="Arial" w:cs="Arial" w:eastAsia="Arial" w:hAnsi="Arial"/>
          <w:sz w:val="18"/>
          <w:szCs w:val="18"/>
          <w:color w:val="auto"/>
        </w:rPr>
        <w:t>AMG Northeast Investment Corp., a Delaware corporation</w:t>
      </w:r>
    </w:p>
    <w:p>
      <w:pPr>
        <w:spacing w:after="0" w:line="235" w:lineRule="auto"/>
        <w:rPr>
          <w:sz w:val="20"/>
          <w:szCs w:val="20"/>
          <w:color w:val="auto"/>
        </w:rPr>
      </w:pPr>
      <w:r>
        <w:rPr>
          <w:rFonts w:ascii="Arial" w:cs="Arial" w:eastAsia="Arial" w:hAnsi="Arial"/>
          <w:sz w:val="18"/>
          <w:szCs w:val="18"/>
          <w:color w:val="auto"/>
        </w:rPr>
        <w:t>AMG Oasis Holdings Ltd., a Bahamas international business company</w:t>
      </w:r>
    </w:p>
    <w:p>
      <w:pPr>
        <w:spacing w:after="0" w:line="235" w:lineRule="auto"/>
        <w:rPr>
          <w:sz w:val="20"/>
          <w:szCs w:val="20"/>
          <w:color w:val="auto"/>
        </w:rPr>
      </w:pPr>
      <w:r>
        <w:rPr>
          <w:rFonts w:ascii="Arial" w:cs="Arial" w:eastAsia="Arial" w:hAnsi="Arial"/>
          <w:sz w:val="18"/>
          <w:szCs w:val="18"/>
          <w:color w:val="auto"/>
        </w:rPr>
        <w:t>AMG PA Holdings Partnership, a Delaware general partnership</w:t>
      </w:r>
    </w:p>
    <w:p>
      <w:pPr>
        <w:spacing w:after="0" w:line="235" w:lineRule="auto"/>
        <w:rPr>
          <w:sz w:val="20"/>
          <w:szCs w:val="20"/>
          <w:color w:val="auto"/>
        </w:rPr>
      </w:pPr>
      <w:r>
        <w:rPr>
          <w:rFonts w:ascii="Arial" w:cs="Arial" w:eastAsia="Arial" w:hAnsi="Arial"/>
          <w:sz w:val="18"/>
          <w:szCs w:val="18"/>
          <w:color w:val="auto"/>
        </w:rPr>
        <w:t>AMG PCM Acquisition I, LLC, a Delaware limited liability company</w:t>
      </w:r>
    </w:p>
    <w:p>
      <w:pPr>
        <w:spacing w:after="0" w:line="235" w:lineRule="auto"/>
        <w:rPr>
          <w:sz w:val="20"/>
          <w:szCs w:val="20"/>
          <w:color w:val="auto"/>
        </w:rPr>
      </w:pPr>
      <w:r>
        <w:rPr>
          <w:rFonts w:ascii="Arial" w:cs="Arial" w:eastAsia="Arial" w:hAnsi="Arial"/>
          <w:sz w:val="18"/>
          <w:szCs w:val="18"/>
          <w:color w:val="auto"/>
        </w:rPr>
        <w:t>AMG PCM Acquisition II, LLC, a Delaware limited liability company</w:t>
      </w:r>
    </w:p>
    <w:p>
      <w:pPr>
        <w:spacing w:after="0" w:line="234" w:lineRule="auto"/>
        <w:rPr>
          <w:sz w:val="20"/>
          <w:szCs w:val="20"/>
          <w:color w:val="auto"/>
        </w:rPr>
      </w:pPr>
      <w:r>
        <w:rPr>
          <w:rFonts w:ascii="Arial" w:cs="Arial" w:eastAsia="Arial" w:hAnsi="Arial"/>
          <w:sz w:val="18"/>
          <w:szCs w:val="18"/>
          <w:color w:val="auto"/>
        </w:rPr>
        <w:t>AMG PFM Holdings LP, a Delaware limited partnership</w:t>
      </w:r>
    </w:p>
    <w:p>
      <w:pPr>
        <w:spacing w:after="0" w:line="219" w:lineRule="auto"/>
        <w:rPr>
          <w:sz w:val="20"/>
          <w:szCs w:val="20"/>
          <w:color w:val="auto"/>
        </w:rPr>
      </w:pPr>
      <w:r>
        <w:rPr>
          <w:rFonts w:ascii="Arial" w:cs="Arial" w:eastAsia="Arial" w:hAnsi="Arial"/>
          <w:sz w:val="18"/>
          <w:szCs w:val="18"/>
          <w:color w:val="auto"/>
        </w:rPr>
        <w:t>AMG Plymouth UK Holdings (1) Limited, a limited company incorporated in England and Wales</w:t>
      </w:r>
    </w:p>
    <w:p>
      <w:pPr>
        <w:spacing w:after="0" w:line="235" w:lineRule="auto"/>
        <w:rPr>
          <w:sz w:val="20"/>
          <w:szCs w:val="20"/>
          <w:color w:val="auto"/>
        </w:rPr>
      </w:pPr>
      <w:r>
        <w:rPr>
          <w:rFonts w:ascii="Arial" w:cs="Arial" w:eastAsia="Arial" w:hAnsi="Arial"/>
          <w:sz w:val="18"/>
          <w:szCs w:val="18"/>
          <w:color w:val="auto"/>
        </w:rPr>
        <w:t>AMG Properties LLC, a Delaware limited liability company</w:t>
      </w:r>
    </w:p>
    <w:p>
      <w:pPr>
        <w:spacing w:after="0" w:line="235" w:lineRule="auto"/>
        <w:rPr>
          <w:sz w:val="20"/>
          <w:szCs w:val="20"/>
          <w:color w:val="auto"/>
        </w:rPr>
      </w:pPr>
      <w:r>
        <w:rPr>
          <w:rFonts w:ascii="Arial" w:cs="Arial" w:eastAsia="Arial" w:hAnsi="Arial"/>
          <w:sz w:val="18"/>
          <w:szCs w:val="18"/>
          <w:color w:val="auto"/>
        </w:rPr>
        <w:t>AMG Renaissance Holdings LLC, a Delaware limited liability company</w:t>
      </w:r>
    </w:p>
    <w:p>
      <w:pPr>
        <w:spacing w:after="0"/>
        <w:rPr>
          <w:sz w:val="20"/>
          <w:szCs w:val="20"/>
          <w:color w:val="auto"/>
        </w:rPr>
      </w:pPr>
      <w:r>
        <w:rPr>
          <w:rFonts w:ascii="Arial" w:cs="Arial" w:eastAsia="Arial" w:hAnsi="Arial"/>
          <w:sz w:val="18"/>
          <w:szCs w:val="18"/>
          <w:color w:val="auto"/>
        </w:rPr>
        <w:t>AMG Rose Holdings I, LLC, a Delaware limited liability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AMG Rose Holdings II, LLC, a Delaware limited liability company</w:t>
      </w:r>
    </w:p>
    <w:p>
      <w:pPr>
        <w:spacing w:after="0" w:line="234" w:lineRule="auto"/>
        <w:rPr>
          <w:sz w:val="20"/>
          <w:szCs w:val="20"/>
          <w:color w:val="auto"/>
        </w:rPr>
      </w:pPr>
      <w:r>
        <w:rPr>
          <w:rFonts w:ascii="Arial" w:cs="Arial" w:eastAsia="Arial" w:hAnsi="Arial"/>
          <w:sz w:val="18"/>
          <w:szCs w:val="18"/>
          <w:color w:val="auto"/>
        </w:rPr>
        <w:t>AMG SA Holdings Proprietary Limited, a limited liability private company incorporated in South Africa</w:t>
      </w:r>
    </w:p>
    <w:p>
      <w:pPr>
        <w:spacing w:after="0" w:line="219" w:lineRule="auto"/>
        <w:rPr>
          <w:sz w:val="20"/>
          <w:szCs w:val="20"/>
          <w:color w:val="auto"/>
        </w:rPr>
      </w:pPr>
      <w:r>
        <w:rPr>
          <w:rFonts w:ascii="Arial" w:cs="Arial" w:eastAsia="Arial" w:hAnsi="Arial"/>
          <w:sz w:val="18"/>
          <w:szCs w:val="18"/>
          <w:color w:val="auto"/>
        </w:rPr>
        <w:t>AMG Symmetry Acquisition LLC, a Delaware limited liability company</w:t>
      </w:r>
    </w:p>
    <w:p>
      <w:pPr>
        <w:spacing w:after="0" w:line="235" w:lineRule="auto"/>
        <w:rPr>
          <w:sz w:val="20"/>
          <w:szCs w:val="20"/>
          <w:color w:val="auto"/>
        </w:rPr>
      </w:pPr>
      <w:r>
        <w:rPr>
          <w:rFonts w:ascii="Arial" w:cs="Arial" w:eastAsia="Arial" w:hAnsi="Arial"/>
          <w:sz w:val="18"/>
          <w:szCs w:val="18"/>
          <w:color w:val="auto"/>
        </w:rPr>
        <w:t>AMG TBC, LLC, a Delaware limited liability company</w:t>
      </w:r>
    </w:p>
    <w:p>
      <w:pPr>
        <w:spacing w:after="0" w:line="235" w:lineRule="auto"/>
        <w:rPr>
          <w:sz w:val="20"/>
          <w:szCs w:val="20"/>
          <w:color w:val="auto"/>
        </w:rPr>
      </w:pPr>
      <w:r>
        <w:rPr>
          <w:rFonts w:ascii="Arial" w:cs="Arial" w:eastAsia="Arial" w:hAnsi="Arial"/>
          <w:sz w:val="18"/>
          <w:szCs w:val="18"/>
          <w:color w:val="auto"/>
        </w:rPr>
        <w:t>AMG UK Holdings Ltd., a Bahamas international business company</w:t>
      </w:r>
    </w:p>
    <w:p>
      <w:pPr>
        <w:spacing w:after="0"/>
        <w:rPr>
          <w:sz w:val="20"/>
          <w:szCs w:val="20"/>
          <w:color w:val="auto"/>
        </w:rPr>
      </w:pPr>
      <w:r>
        <w:rPr>
          <w:rFonts w:ascii="Arial" w:cs="Arial" w:eastAsia="Arial" w:hAnsi="Arial"/>
          <w:sz w:val="18"/>
          <w:szCs w:val="18"/>
          <w:color w:val="auto"/>
        </w:rPr>
        <w:t>AMG Wealth Partners, LP, a Delaware limited partnership</w:t>
      </w:r>
    </w:p>
    <w:p>
      <w:pPr>
        <w:sectPr>
          <w:pgSz w:w="11900" w:h="16838" w:orient="portrait"/>
          <w:cols w:equalWidth="0" w:num="1">
            <w:col w:w="11240"/>
          </w:cols>
          <w:pgMar w:left="320" w:top="60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AMG WF Holdings LLC, a Delaware limited liability company</w:t>
      </w:r>
    </w:p>
    <w:p>
      <w:pPr>
        <w:spacing w:after="0" w:line="12" w:lineRule="exact"/>
        <w:rPr>
          <w:sz w:val="20"/>
          <w:szCs w:val="20"/>
          <w:color w:val="auto"/>
        </w:rPr>
      </w:pPr>
    </w:p>
    <w:p>
      <w:pPr>
        <w:ind w:right="4539"/>
        <w:spacing w:after="0" w:line="234" w:lineRule="auto"/>
        <w:rPr>
          <w:sz w:val="20"/>
          <w:szCs w:val="20"/>
          <w:color w:val="auto"/>
        </w:rPr>
      </w:pPr>
      <w:r>
        <w:rPr>
          <w:rFonts w:ascii="Arial" w:cs="Arial" w:eastAsia="Arial" w:hAnsi="Arial"/>
          <w:sz w:val="18"/>
          <w:szCs w:val="18"/>
          <w:color w:val="auto"/>
        </w:rPr>
        <w:t>AMG Windermere Holdings Ltd., a Bahamas international business company AMG WP GP Holdings Corp., a Delaware corporation</w:t>
      </w:r>
    </w:p>
    <w:p>
      <w:pPr>
        <w:spacing w:after="0" w:line="236" w:lineRule="auto"/>
        <w:rPr>
          <w:sz w:val="20"/>
          <w:szCs w:val="20"/>
          <w:color w:val="auto"/>
        </w:rPr>
      </w:pPr>
      <w:r>
        <w:rPr>
          <w:rFonts w:ascii="Arial" w:cs="Arial" w:eastAsia="Arial" w:hAnsi="Arial"/>
          <w:sz w:val="18"/>
          <w:szCs w:val="18"/>
          <w:color w:val="auto"/>
        </w:rPr>
        <w:t>AMG WP LP Holdings, LLC, a Delaware limited liability company</w:t>
      </w:r>
    </w:p>
    <w:p>
      <w:pPr>
        <w:spacing w:after="0" w:line="235" w:lineRule="auto"/>
        <w:rPr>
          <w:sz w:val="20"/>
          <w:szCs w:val="20"/>
          <w:color w:val="auto"/>
        </w:rPr>
      </w:pPr>
      <w:r>
        <w:rPr>
          <w:rFonts w:ascii="Arial" w:cs="Arial" w:eastAsia="Arial" w:hAnsi="Arial"/>
          <w:sz w:val="18"/>
          <w:szCs w:val="18"/>
          <w:color w:val="auto"/>
        </w:rPr>
        <w:t>AMG/FAMI Investment Corp., a Nova Scotia corporation</w:t>
      </w:r>
    </w:p>
    <w:p>
      <w:pPr>
        <w:spacing w:after="0" w:line="235" w:lineRule="auto"/>
        <w:rPr>
          <w:sz w:val="20"/>
          <w:szCs w:val="20"/>
          <w:color w:val="auto"/>
        </w:rPr>
      </w:pPr>
      <w:r>
        <w:rPr>
          <w:rFonts w:ascii="Arial" w:cs="Arial" w:eastAsia="Arial" w:hAnsi="Arial"/>
          <w:sz w:val="18"/>
          <w:szCs w:val="18"/>
          <w:color w:val="auto"/>
        </w:rPr>
        <w:t>AMG/Midwest Holdings, Inc., a Delaware corporation</w:t>
      </w:r>
    </w:p>
    <w:p>
      <w:pPr>
        <w:spacing w:after="0" w:line="219" w:lineRule="auto"/>
        <w:rPr>
          <w:sz w:val="20"/>
          <w:szCs w:val="20"/>
          <w:color w:val="auto"/>
        </w:rPr>
      </w:pPr>
      <w:r>
        <w:rPr>
          <w:rFonts w:ascii="Arial" w:cs="Arial" w:eastAsia="Arial" w:hAnsi="Arial"/>
          <w:sz w:val="18"/>
          <w:szCs w:val="18"/>
          <w:color w:val="auto"/>
        </w:rPr>
        <w:t>AMG/Midwest Holdings, LLC, a Delaware limited liability company</w:t>
      </w:r>
    </w:p>
    <w:p>
      <w:pPr>
        <w:spacing w:after="0" w:line="234" w:lineRule="auto"/>
        <w:rPr>
          <w:sz w:val="20"/>
          <w:szCs w:val="20"/>
          <w:color w:val="auto"/>
        </w:rPr>
      </w:pPr>
      <w:r>
        <w:rPr>
          <w:rFonts w:ascii="Arial" w:cs="Arial" w:eastAsia="Arial" w:hAnsi="Arial"/>
          <w:sz w:val="18"/>
          <w:szCs w:val="18"/>
          <w:color w:val="auto"/>
        </w:rPr>
        <w:t>AMG/North America Holding Corp., a Delaware corporation</w:t>
      </w:r>
    </w:p>
    <w:p>
      <w:pPr>
        <w:spacing w:after="0" w:line="1" w:lineRule="exact"/>
        <w:rPr>
          <w:sz w:val="20"/>
          <w:szCs w:val="20"/>
          <w:color w:val="auto"/>
        </w:rPr>
      </w:pPr>
    </w:p>
    <w:p>
      <w:pPr>
        <w:ind w:right="4219"/>
        <w:spacing w:after="0" w:line="234" w:lineRule="auto"/>
        <w:rPr>
          <w:sz w:val="20"/>
          <w:szCs w:val="20"/>
          <w:color w:val="auto"/>
        </w:rPr>
      </w:pPr>
      <w:r>
        <w:rPr>
          <w:rFonts w:ascii="Arial" w:cs="Arial" w:eastAsia="Arial" w:hAnsi="Arial"/>
          <w:sz w:val="18"/>
          <w:szCs w:val="18"/>
          <w:color w:val="auto"/>
        </w:rPr>
        <w:t>AQR Capital Management Holdings, LLC, a Delaware limited liability company* Arrow Acquisition LLC, a Delaware limited liability company</w:t>
      </w:r>
    </w:p>
    <w:p>
      <w:pPr>
        <w:spacing w:after="0" w:line="236" w:lineRule="auto"/>
        <w:rPr>
          <w:sz w:val="20"/>
          <w:szCs w:val="20"/>
          <w:color w:val="auto"/>
        </w:rPr>
      </w:pPr>
      <w:r>
        <w:rPr>
          <w:rFonts w:ascii="Arial" w:cs="Arial" w:eastAsia="Arial" w:hAnsi="Arial"/>
          <w:sz w:val="18"/>
          <w:szCs w:val="18"/>
          <w:color w:val="auto"/>
        </w:rPr>
        <w:t>Arrow Bidco Limited, a limited company incorporated in the United Kingdom</w:t>
      </w:r>
    </w:p>
    <w:p>
      <w:pPr>
        <w:ind w:right="3419"/>
        <w:spacing w:after="0" w:line="264" w:lineRule="auto"/>
        <w:rPr>
          <w:sz w:val="20"/>
          <w:szCs w:val="20"/>
          <w:color w:val="auto"/>
        </w:rPr>
      </w:pPr>
      <w:r>
        <w:rPr>
          <w:rFonts w:ascii="Arial" w:cs="Arial" w:eastAsia="Arial" w:hAnsi="Arial"/>
          <w:sz w:val="16"/>
          <w:szCs w:val="16"/>
          <w:color w:val="auto"/>
        </w:rPr>
        <w:t>Artemis Asset Management Limited, a limited company incorporated in the United Kingdom Artemis Investment Management LLP, a United Kingdom limited liability partnership</w:t>
      </w:r>
    </w:p>
    <w:p>
      <w:pPr>
        <w:ind w:right="2739"/>
        <w:spacing w:after="0" w:line="234" w:lineRule="auto"/>
        <w:rPr>
          <w:sz w:val="20"/>
          <w:szCs w:val="20"/>
          <w:color w:val="auto"/>
        </w:rPr>
      </w:pPr>
      <w:r>
        <w:rPr>
          <w:rFonts w:ascii="Arial" w:cs="Arial" w:eastAsia="Arial" w:hAnsi="Arial"/>
          <w:sz w:val="18"/>
          <w:szCs w:val="18"/>
          <w:color w:val="auto"/>
        </w:rPr>
        <w:t>Artemis Strategic Asset Management Limited, a limited company incorporated in the United Kingdom Baker Street Advisors LLC, a Delaware limited liability company BC Acquisition LLC, a Delaware limited liability company</w:t>
      </w:r>
    </w:p>
    <w:p>
      <w:pPr>
        <w:spacing w:after="0" w:line="2" w:lineRule="exact"/>
        <w:rPr>
          <w:sz w:val="20"/>
          <w:szCs w:val="20"/>
          <w:color w:val="auto"/>
        </w:rPr>
      </w:pPr>
    </w:p>
    <w:p>
      <w:pPr>
        <w:ind w:right="4199"/>
        <w:spacing w:after="0" w:line="259" w:lineRule="auto"/>
        <w:rPr>
          <w:sz w:val="20"/>
          <w:szCs w:val="20"/>
          <w:color w:val="auto"/>
        </w:rPr>
      </w:pPr>
      <w:r>
        <w:rPr>
          <w:rFonts w:ascii="Arial" w:cs="Arial" w:eastAsia="Arial" w:hAnsi="Arial"/>
          <w:sz w:val="16"/>
          <w:szCs w:val="16"/>
          <w:color w:val="auto"/>
        </w:rPr>
        <w:t>Beutel, Goodman &amp; Company Ltd., a limited company incorporated in Canada* Bimini Atlantic Holdings Ltd., a Bahamas international business company Boston Common Asset Management, LLC, a Delaware limited liability company* Capeview Capital LLP, an England and Wales limited liability partnership*</w:t>
      </w:r>
    </w:p>
    <w:p>
      <w:pPr>
        <w:spacing w:after="0" w:line="237" w:lineRule="auto"/>
        <w:rPr>
          <w:sz w:val="20"/>
          <w:szCs w:val="20"/>
          <w:color w:val="auto"/>
        </w:rPr>
      </w:pPr>
      <w:r>
        <w:rPr>
          <w:rFonts w:ascii="Arial" w:cs="Arial" w:eastAsia="Arial" w:hAnsi="Arial"/>
          <w:sz w:val="18"/>
          <w:szCs w:val="18"/>
          <w:color w:val="auto"/>
        </w:rPr>
        <w:t>Capula Investment Management LLP, an England and Wales limited liability partnership*</w:t>
      </w:r>
    </w:p>
    <w:p>
      <w:pPr>
        <w:spacing w:after="0" w:line="235" w:lineRule="auto"/>
        <w:rPr>
          <w:sz w:val="20"/>
          <w:szCs w:val="20"/>
          <w:color w:val="auto"/>
        </w:rPr>
      </w:pPr>
      <w:r>
        <w:rPr>
          <w:rFonts w:ascii="Arial" w:cs="Arial" w:eastAsia="Arial" w:hAnsi="Arial"/>
          <w:sz w:val="18"/>
          <w:szCs w:val="18"/>
          <w:color w:val="auto"/>
        </w:rPr>
        <w:t>Capula Management Limited, a Cayman Islands exempted company*</w:t>
      </w:r>
    </w:p>
    <w:p>
      <w:pPr>
        <w:spacing w:after="0" w:line="235" w:lineRule="auto"/>
        <w:rPr>
          <w:sz w:val="20"/>
          <w:szCs w:val="20"/>
          <w:color w:val="auto"/>
        </w:rPr>
      </w:pPr>
      <w:r>
        <w:rPr>
          <w:rFonts w:ascii="Arial" w:cs="Arial" w:eastAsia="Arial" w:hAnsi="Arial"/>
          <w:sz w:val="18"/>
          <w:szCs w:val="18"/>
          <w:color w:val="auto"/>
        </w:rPr>
        <w:t>Catalyst Acquisition II, Inc., a Delaware corporation</w:t>
      </w:r>
    </w:p>
    <w:p>
      <w:pPr>
        <w:spacing w:after="0" w:line="234" w:lineRule="auto"/>
        <w:rPr>
          <w:sz w:val="20"/>
          <w:szCs w:val="20"/>
          <w:color w:val="auto"/>
        </w:rPr>
      </w:pPr>
      <w:r>
        <w:rPr>
          <w:rFonts w:ascii="Arial" w:cs="Arial" w:eastAsia="Arial" w:hAnsi="Arial"/>
          <w:sz w:val="18"/>
          <w:szCs w:val="18"/>
          <w:color w:val="auto"/>
        </w:rPr>
        <w:t>CGH Acquisition II LLC, a Delaware limited liability company</w:t>
      </w:r>
    </w:p>
    <w:p>
      <w:pPr>
        <w:spacing w:after="0" w:line="235" w:lineRule="auto"/>
        <w:rPr>
          <w:sz w:val="20"/>
          <w:szCs w:val="20"/>
          <w:color w:val="auto"/>
        </w:rPr>
      </w:pPr>
      <w:r>
        <w:rPr>
          <w:rFonts w:ascii="Arial" w:cs="Arial" w:eastAsia="Arial" w:hAnsi="Arial"/>
          <w:sz w:val="18"/>
          <w:szCs w:val="18"/>
          <w:color w:val="auto"/>
        </w:rPr>
        <w:t>CGH Acquisition LLC, a Delaware limited liability company</w:t>
      </w:r>
    </w:p>
    <w:p>
      <w:pPr>
        <w:spacing w:after="0" w:line="235" w:lineRule="auto"/>
        <w:rPr>
          <w:sz w:val="20"/>
          <w:szCs w:val="20"/>
          <w:color w:val="auto"/>
        </w:rPr>
      </w:pPr>
      <w:r>
        <w:rPr>
          <w:rFonts w:ascii="Arial" w:cs="Arial" w:eastAsia="Arial" w:hAnsi="Arial"/>
          <w:sz w:val="18"/>
          <w:szCs w:val="18"/>
          <w:color w:val="auto"/>
        </w:rPr>
        <w:t>CML Holdings LLC, a Cayman Islands limited liability company</w:t>
      </w:r>
    </w:p>
    <w:p>
      <w:pPr>
        <w:spacing w:after="0" w:line="235" w:lineRule="auto"/>
        <w:rPr>
          <w:sz w:val="20"/>
          <w:szCs w:val="20"/>
          <w:color w:val="auto"/>
        </w:rPr>
      </w:pPr>
      <w:r>
        <w:rPr>
          <w:rFonts w:ascii="Arial" w:cs="Arial" w:eastAsia="Arial" w:hAnsi="Arial"/>
          <w:sz w:val="18"/>
          <w:szCs w:val="18"/>
          <w:color w:val="auto"/>
        </w:rPr>
        <w:t>Comvest Group Holdings LP, a Delaware limited partnership*</w:t>
      </w:r>
    </w:p>
    <w:p>
      <w:pPr>
        <w:spacing w:after="0" w:line="235" w:lineRule="auto"/>
        <w:rPr>
          <w:sz w:val="20"/>
          <w:szCs w:val="20"/>
          <w:color w:val="auto"/>
        </w:rPr>
      </w:pPr>
      <w:r>
        <w:rPr>
          <w:rFonts w:ascii="Arial" w:cs="Arial" w:eastAsia="Arial" w:hAnsi="Arial"/>
          <w:sz w:val="18"/>
          <w:szCs w:val="18"/>
          <w:color w:val="auto"/>
        </w:rPr>
        <w:t>Comvest Group GP II LLC, a Delaware limited liability company*</w:t>
      </w:r>
    </w:p>
    <w:p>
      <w:pPr>
        <w:spacing w:after="0" w:line="234" w:lineRule="auto"/>
        <w:rPr>
          <w:sz w:val="20"/>
          <w:szCs w:val="20"/>
          <w:color w:val="auto"/>
        </w:rPr>
      </w:pPr>
      <w:r>
        <w:rPr>
          <w:rFonts w:ascii="Arial" w:cs="Arial" w:eastAsia="Arial" w:hAnsi="Arial"/>
          <w:sz w:val="18"/>
          <w:szCs w:val="18"/>
          <w:color w:val="auto"/>
        </w:rPr>
        <w:t>CVC Holdings LLC, a Cayman Islands limited liability company</w:t>
      </w:r>
    </w:p>
    <w:p>
      <w:pPr>
        <w:spacing w:after="0" w:line="235" w:lineRule="auto"/>
        <w:rPr>
          <w:sz w:val="20"/>
          <w:szCs w:val="20"/>
          <w:color w:val="auto"/>
        </w:rPr>
      </w:pPr>
      <w:r>
        <w:rPr>
          <w:rFonts w:ascii="Arial" w:cs="Arial" w:eastAsia="Arial" w:hAnsi="Arial"/>
          <w:sz w:val="18"/>
          <w:szCs w:val="18"/>
          <w:color w:val="auto"/>
        </w:rPr>
        <w:t>EIG Asset Management, LLC, a Delaware limited liability company*</w:t>
      </w:r>
    </w:p>
    <w:p>
      <w:pPr>
        <w:spacing w:after="0" w:line="235" w:lineRule="auto"/>
        <w:rPr>
          <w:sz w:val="20"/>
          <w:szCs w:val="20"/>
          <w:color w:val="auto"/>
        </w:rPr>
      </w:pPr>
      <w:r>
        <w:rPr>
          <w:rFonts w:ascii="Arial" w:cs="Arial" w:eastAsia="Arial" w:hAnsi="Arial"/>
          <w:sz w:val="18"/>
          <w:szCs w:val="18"/>
          <w:color w:val="auto"/>
        </w:rPr>
        <w:t>EIG Principals Incentive Carry Vehicle, LP, a Delaware limited partnership*</w:t>
      </w:r>
    </w:p>
    <w:p>
      <w:pPr>
        <w:spacing w:after="0" w:line="235" w:lineRule="auto"/>
        <w:rPr>
          <w:sz w:val="20"/>
          <w:szCs w:val="20"/>
          <w:color w:val="auto"/>
        </w:rPr>
      </w:pPr>
      <w:r>
        <w:rPr>
          <w:rFonts w:ascii="Arial" w:cs="Arial" w:eastAsia="Arial" w:hAnsi="Arial"/>
          <w:sz w:val="18"/>
          <w:szCs w:val="18"/>
          <w:color w:val="auto"/>
        </w:rPr>
        <w:t>EIG Principals Incentive Carry Vehicle II, LP, a Delaware limited partnership*</w:t>
      </w:r>
    </w:p>
    <w:p>
      <w:pPr>
        <w:spacing w:after="0" w:line="219" w:lineRule="auto"/>
        <w:rPr>
          <w:sz w:val="20"/>
          <w:szCs w:val="20"/>
          <w:color w:val="auto"/>
        </w:rPr>
      </w:pPr>
      <w:r>
        <w:rPr>
          <w:rFonts w:ascii="Arial" w:cs="Arial" w:eastAsia="Arial" w:hAnsi="Arial"/>
          <w:sz w:val="18"/>
          <w:szCs w:val="18"/>
          <w:color w:val="auto"/>
        </w:rPr>
        <w:t>EIG Principals Incentive Carry Vehicle II-A, LP, a Scotland limited partnership*</w:t>
      </w:r>
    </w:p>
    <w:p>
      <w:pPr>
        <w:spacing w:after="0" w:line="235" w:lineRule="auto"/>
        <w:rPr>
          <w:sz w:val="20"/>
          <w:szCs w:val="20"/>
          <w:color w:val="auto"/>
        </w:rPr>
      </w:pPr>
      <w:r>
        <w:rPr>
          <w:rFonts w:ascii="Arial" w:cs="Arial" w:eastAsia="Arial" w:hAnsi="Arial"/>
          <w:sz w:val="18"/>
          <w:szCs w:val="18"/>
          <w:color w:val="auto"/>
        </w:rPr>
        <w:t>EIG Principals Incentive Carry Vehicle III, LP, a Cayman Islands limited partnership*</w:t>
      </w:r>
    </w:p>
    <w:p>
      <w:pPr>
        <w:spacing w:after="0" w:line="235" w:lineRule="auto"/>
        <w:rPr>
          <w:sz w:val="20"/>
          <w:szCs w:val="20"/>
          <w:color w:val="auto"/>
        </w:rPr>
      </w:pPr>
      <w:r>
        <w:rPr>
          <w:rFonts w:ascii="Arial" w:cs="Arial" w:eastAsia="Arial" w:hAnsi="Arial"/>
          <w:sz w:val="18"/>
          <w:szCs w:val="18"/>
          <w:color w:val="auto"/>
        </w:rPr>
        <w:t>FA (WY) Acquisition Company, Inc., a Delaware corporation</w:t>
      </w:r>
    </w:p>
    <w:p>
      <w:pPr>
        <w:spacing w:after="0" w:line="234" w:lineRule="auto"/>
        <w:rPr>
          <w:sz w:val="20"/>
          <w:szCs w:val="20"/>
          <w:color w:val="auto"/>
        </w:rPr>
      </w:pPr>
      <w:r>
        <w:rPr>
          <w:rFonts w:ascii="Arial" w:cs="Arial" w:eastAsia="Arial" w:hAnsi="Arial"/>
          <w:sz w:val="18"/>
          <w:szCs w:val="18"/>
          <w:color w:val="auto"/>
        </w:rPr>
        <w:t>El-Train Acquisition LLC, a Delaware limited liability company</w:t>
      </w:r>
    </w:p>
    <w:p>
      <w:pPr>
        <w:spacing w:after="0" w:line="235" w:lineRule="auto"/>
        <w:rPr>
          <w:sz w:val="20"/>
          <w:szCs w:val="20"/>
          <w:color w:val="auto"/>
        </w:rPr>
      </w:pPr>
      <w:r>
        <w:rPr>
          <w:rFonts w:ascii="Arial" w:cs="Arial" w:eastAsia="Arial" w:hAnsi="Arial"/>
          <w:sz w:val="18"/>
          <w:szCs w:val="18"/>
          <w:color w:val="auto"/>
        </w:rPr>
        <w:t>FCMC Holdings LLC, a Delaware limited liability company</w:t>
      </w:r>
    </w:p>
    <w:p>
      <w:pPr>
        <w:spacing w:after="0" w:line="235" w:lineRule="auto"/>
        <w:rPr>
          <w:sz w:val="20"/>
          <w:szCs w:val="20"/>
          <w:color w:val="auto"/>
        </w:rPr>
      </w:pPr>
      <w:r>
        <w:rPr>
          <w:rFonts w:ascii="Arial" w:cs="Arial" w:eastAsia="Arial" w:hAnsi="Arial"/>
          <w:sz w:val="18"/>
          <w:szCs w:val="18"/>
          <w:color w:val="auto"/>
        </w:rPr>
        <w:t>First Asset Capital Management (III) Inc., an Ontario corporation</w:t>
      </w:r>
    </w:p>
    <w:p>
      <w:pPr>
        <w:spacing w:after="0" w:line="235" w:lineRule="auto"/>
        <w:rPr>
          <w:sz w:val="20"/>
          <w:szCs w:val="20"/>
          <w:color w:val="auto"/>
        </w:rPr>
      </w:pPr>
      <w:r>
        <w:rPr>
          <w:rFonts w:ascii="Arial" w:cs="Arial" w:eastAsia="Arial" w:hAnsi="Arial"/>
          <w:sz w:val="18"/>
          <w:szCs w:val="18"/>
          <w:color w:val="auto"/>
        </w:rPr>
        <w:t>First Quadrant, LLC, a Delaware limited liability company</w:t>
      </w:r>
    </w:p>
    <w:p>
      <w:pPr>
        <w:spacing w:after="0" w:line="235" w:lineRule="auto"/>
        <w:rPr>
          <w:sz w:val="20"/>
          <w:szCs w:val="20"/>
          <w:color w:val="auto"/>
        </w:rPr>
      </w:pPr>
      <w:r>
        <w:rPr>
          <w:rFonts w:ascii="Arial" w:cs="Arial" w:eastAsia="Arial" w:hAnsi="Arial"/>
          <w:sz w:val="18"/>
          <w:szCs w:val="18"/>
          <w:color w:val="auto"/>
        </w:rPr>
        <w:t>Foyston, Gordon &amp; Payne Inc., a Canada corporation</w:t>
      </w:r>
    </w:p>
    <w:p>
      <w:pPr>
        <w:spacing w:after="0" w:line="234" w:lineRule="auto"/>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235" w:lineRule="auto"/>
        <w:rPr>
          <w:sz w:val="20"/>
          <w:szCs w:val="20"/>
          <w:color w:val="auto"/>
        </w:rPr>
      </w:pPr>
      <w:r>
        <w:rPr>
          <w:rFonts w:ascii="Arial" w:cs="Arial" w:eastAsia="Arial" w:hAnsi="Arial"/>
          <w:sz w:val="18"/>
          <w:szCs w:val="18"/>
          <w:color w:val="auto"/>
        </w:rPr>
        <w:t>Gallium Acquisition LLC, a Delaware limited liability company</w:t>
      </w:r>
    </w:p>
    <w:p>
      <w:pPr>
        <w:spacing w:after="0" w:line="235" w:lineRule="auto"/>
        <w:rPr>
          <w:sz w:val="20"/>
          <w:szCs w:val="20"/>
          <w:color w:val="auto"/>
        </w:rPr>
      </w:pPr>
      <w:r>
        <w:rPr>
          <w:rFonts w:ascii="Arial" w:cs="Arial" w:eastAsia="Arial" w:hAnsi="Arial"/>
          <w:sz w:val="18"/>
          <w:szCs w:val="18"/>
          <w:color w:val="auto"/>
        </w:rPr>
        <w:t>Garda Capital Partners LP, a Delaware limited partnership*</w:t>
      </w:r>
    </w:p>
    <w:p>
      <w:pPr>
        <w:spacing w:after="0" w:line="235" w:lineRule="auto"/>
        <w:rPr>
          <w:sz w:val="20"/>
          <w:szCs w:val="20"/>
          <w:color w:val="auto"/>
        </w:rPr>
      </w:pPr>
      <w:r>
        <w:rPr>
          <w:rFonts w:ascii="Arial" w:cs="Arial" w:eastAsia="Arial" w:hAnsi="Arial"/>
          <w:sz w:val="18"/>
          <w:szCs w:val="18"/>
          <w:color w:val="auto"/>
        </w:rPr>
        <w:t>GCP Acquisition LLC, a Delaware limited liability company</w:t>
      </w:r>
    </w:p>
    <w:p>
      <w:pPr>
        <w:ind w:right="3899"/>
        <w:spacing w:after="0" w:line="226" w:lineRule="auto"/>
        <w:rPr>
          <w:sz w:val="20"/>
          <w:szCs w:val="20"/>
          <w:color w:val="auto"/>
        </w:rPr>
      </w:pPr>
      <w:r>
        <w:rPr>
          <w:rFonts w:ascii="Arial" w:cs="Arial" w:eastAsia="Arial" w:hAnsi="Arial"/>
          <w:sz w:val="18"/>
          <w:szCs w:val="18"/>
          <w:color w:val="auto"/>
        </w:rPr>
        <w:t>Genesis Investment Management, LLP, a United Kingdom limited liability partnership Gotham Acquisition GP, LLC, a Delaware limited liability company</w:t>
      </w:r>
    </w:p>
    <w:p>
      <w:pPr>
        <w:spacing w:after="0" w:line="236" w:lineRule="auto"/>
        <w:rPr>
          <w:sz w:val="20"/>
          <w:szCs w:val="20"/>
          <w:color w:val="auto"/>
        </w:rPr>
      </w:pPr>
      <w:r>
        <w:rPr>
          <w:rFonts w:ascii="Arial" w:cs="Arial" w:eastAsia="Arial" w:hAnsi="Arial"/>
          <w:sz w:val="18"/>
          <w:szCs w:val="18"/>
          <w:color w:val="auto"/>
        </w:rPr>
        <w:t>Gotham Acquisition LP, LLC, a Delaware limited liability company</w:t>
      </w:r>
    </w:p>
    <w:p>
      <w:pPr>
        <w:spacing w:after="0" w:line="235" w:lineRule="auto"/>
        <w:rPr>
          <w:sz w:val="20"/>
          <w:szCs w:val="20"/>
          <w:color w:val="auto"/>
        </w:rPr>
      </w:pPr>
      <w:r>
        <w:rPr>
          <w:rFonts w:ascii="Arial" w:cs="Arial" w:eastAsia="Arial" w:hAnsi="Arial"/>
          <w:sz w:val="18"/>
          <w:szCs w:val="18"/>
          <w:color w:val="auto"/>
        </w:rPr>
        <w:t>GW&amp;K Investment Management, LLC, a Delaware limited liability company</w:t>
      </w:r>
    </w:p>
    <w:p>
      <w:pPr>
        <w:spacing w:after="0" w:line="235" w:lineRule="auto"/>
        <w:rPr>
          <w:sz w:val="20"/>
          <w:szCs w:val="20"/>
          <w:color w:val="auto"/>
        </w:rPr>
      </w:pPr>
      <w:r>
        <w:rPr>
          <w:rFonts w:ascii="Arial" w:cs="Arial" w:eastAsia="Arial" w:hAnsi="Arial"/>
          <w:sz w:val="18"/>
          <w:szCs w:val="18"/>
          <w:color w:val="auto"/>
        </w:rPr>
        <w:t>Harding Loevner LP, a Delaware limited partnership</w:t>
      </w:r>
    </w:p>
    <w:p>
      <w:pPr>
        <w:spacing w:after="0" w:line="235" w:lineRule="auto"/>
        <w:rPr>
          <w:sz w:val="20"/>
          <w:szCs w:val="20"/>
          <w:color w:val="auto"/>
        </w:rPr>
      </w:pPr>
      <w:r>
        <w:rPr>
          <w:rFonts w:ascii="Arial" w:cs="Arial" w:eastAsia="Arial" w:hAnsi="Arial"/>
          <w:sz w:val="18"/>
          <w:szCs w:val="18"/>
          <w:color w:val="auto"/>
        </w:rPr>
        <w:t>HWL Holdings Corp., a Delaware corporation</w:t>
      </w:r>
    </w:p>
    <w:p>
      <w:pPr>
        <w:ind w:right="4919"/>
        <w:spacing w:after="0" w:line="264" w:lineRule="auto"/>
        <w:rPr>
          <w:sz w:val="20"/>
          <w:szCs w:val="20"/>
          <w:color w:val="auto"/>
        </w:rPr>
      </w:pPr>
      <w:r>
        <w:rPr>
          <w:rFonts w:ascii="Arial" w:cs="Arial" w:eastAsia="Arial" w:hAnsi="Arial"/>
          <w:sz w:val="16"/>
          <w:szCs w:val="16"/>
          <w:color w:val="auto"/>
        </w:rPr>
        <w:t>Inclusive Capital Partners Holdco, L.P., a Delaware limited partnership* Institutional Capital Network, Inc., a Delaware corporation*</w:t>
      </w:r>
    </w:p>
    <w:p>
      <w:pPr>
        <w:spacing w:after="0" w:line="235" w:lineRule="auto"/>
        <w:rPr>
          <w:sz w:val="20"/>
          <w:szCs w:val="20"/>
          <w:color w:val="auto"/>
        </w:rPr>
      </w:pPr>
      <w:r>
        <w:rPr>
          <w:rFonts w:ascii="Arial" w:cs="Arial" w:eastAsia="Arial" w:hAnsi="Arial"/>
          <w:sz w:val="18"/>
          <w:szCs w:val="18"/>
          <w:color w:val="auto"/>
        </w:rPr>
        <w:t>Jackson Square Partners, LLC, a Delaware limited liability company*</w:t>
      </w:r>
    </w:p>
    <w:p>
      <w:pPr>
        <w:spacing w:after="0" w:line="234" w:lineRule="auto"/>
        <w:rPr>
          <w:sz w:val="20"/>
          <w:szCs w:val="20"/>
          <w:color w:val="auto"/>
        </w:rPr>
      </w:pPr>
      <w:r>
        <w:rPr>
          <w:rFonts w:ascii="Arial" w:cs="Arial" w:eastAsia="Arial" w:hAnsi="Arial"/>
          <w:sz w:val="18"/>
          <w:szCs w:val="18"/>
          <w:color w:val="auto"/>
        </w:rPr>
        <w:t>JSP Acquisition LLC, a Delaware limited liability company</w:t>
      </w:r>
    </w:p>
    <w:p>
      <w:pPr>
        <w:spacing w:after="0" w:line="235" w:lineRule="auto"/>
        <w:rPr>
          <w:sz w:val="20"/>
          <w:szCs w:val="20"/>
          <w:color w:val="auto"/>
        </w:rPr>
      </w:pPr>
      <w:r>
        <w:rPr>
          <w:rFonts w:ascii="Arial" w:cs="Arial" w:eastAsia="Arial" w:hAnsi="Arial"/>
          <w:sz w:val="18"/>
          <w:szCs w:val="18"/>
          <w:color w:val="auto"/>
        </w:rPr>
        <w:t>Montrusco Bolton Investments Inc., a Canada corporation*</w:t>
      </w:r>
    </w:p>
    <w:p>
      <w:pPr>
        <w:spacing w:after="0" w:line="235" w:lineRule="auto"/>
        <w:rPr>
          <w:sz w:val="20"/>
          <w:szCs w:val="20"/>
          <w:color w:val="auto"/>
        </w:rPr>
      </w:pPr>
      <w:r>
        <w:rPr>
          <w:rFonts w:ascii="Arial" w:cs="Arial" w:eastAsia="Arial" w:hAnsi="Arial"/>
          <w:sz w:val="18"/>
          <w:szCs w:val="18"/>
          <w:color w:val="auto"/>
        </w:rPr>
        <w:t>myCIO Wealth Partners, LLC, a Delaware limited liability company</w:t>
      </w:r>
    </w:p>
    <w:p>
      <w:pPr>
        <w:spacing w:after="0" w:line="235" w:lineRule="auto"/>
        <w:rPr>
          <w:sz w:val="20"/>
          <w:szCs w:val="20"/>
          <w:color w:val="auto"/>
        </w:rPr>
      </w:pPr>
      <w:r>
        <w:rPr>
          <w:rFonts w:ascii="Arial" w:cs="Arial" w:eastAsia="Arial" w:hAnsi="Arial"/>
          <w:sz w:val="18"/>
          <w:szCs w:val="18"/>
          <w:color w:val="auto"/>
        </w:rPr>
        <w:t>OCP Asia Limited, a Cayman Islands exempted limited company*</w:t>
      </w:r>
    </w:p>
    <w:p>
      <w:pPr>
        <w:spacing w:after="0"/>
        <w:rPr>
          <w:sz w:val="20"/>
          <w:szCs w:val="20"/>
          <w:color w:val="auto"/>
        </w:rPr>
      </w:pPr>
      <w:r>
        <w:rPr>
          <w:rFonts w:ascii="Arial" w:cs="Arial" w:eastAsia="Arial" w:hAnsi="Arial"/>
          <w:sz w:val="18"/>
          <w:szCs w:val="18"/>
          <w:color w:val="auto"/>
        </w:rPr>
        <w:t>Pantheon Capital (Asia) Limited, a limited company incorporated in Hong Kong</w:t>
      </w:r>
    </w:p>
    <w:p>
      <w:pPr>
        <w:sectPr>
          <w:pgSz w:w="11900" w:h="16838" w:orient="portrait"/>
          <w:cols w:equalWidth="0" w:num="1">
            <w:col w:w="10139"/>
          </w:cols>
          <w:pgMar w:left="320" w:top="1408" w:right="1440" w:bottom="1440" w:gutter="0" w:footer="0" w:header="0"/>
        </w:sectPr>
      </w:pPr>
    </w:p>
    <w:bookmarkStart w:id="88" w:name="page89"/>
    <w:bookmarkEnd w:id="88"/>
    <w:p>
      <w:pPr>
        <w:ind w:right="4139"/>
        <w:spacing w:after="0" w:line="244" w:lineRule="auto"/>
        <w:rPr>
          <w:sz w:val="20"/>
          <w:szCs w:val="20"/>
          <w:color w:val="auto"/>
        </w:rPr>
      </w:pPr>
      <w:r>
        <w:rPr>
          <w:rFonts w:ascii="Arial" w:cs="Arial" w:eastAsia="Arial" w:hAnsi="Arial"/>
          <w:sz w:val="18"/>
          <w:szCs w:val="18"/>
          <w:color w:val="auto"/>
        </w:rPr>
        <w:t>Pantheon Holdings Limited, a limited company incorporated in England and Wales Pantheon (UK) GP LLP, a Scotland limited liability partnership</w:t>
      </w:r>
    </w:p>
    <w:p>
      <w:pPr>
        <w:ind w:right="4859"/>
        <w:spacing w:after="0" w:line="234" w:lineRule="auto"/>
        <w:rPr>
          <w:sz w:val="20"/>
          <w:szCs w:val="20"/>
          <w:color w:val="auto"/>
        </w:rPr>
      </w:pPr>
      <w:r>
        <w:rPr>
          <w:rFonts w:ascii="Arial" w:cs="Arial" w:eastAsia="Arial" w:hAnsi="Arial"/>
          <w:sz w:val="18"/>
          <w:szCs w:val="18"/>
          <w:color w:val="auto"/>
        </w:rPr>
        <w:t>Pantheon Ventures (Asia) Limited, a Cayman Islands exempted company Pantheon Ventures Inc., a California corporation</w:t>
      </w:r>
    </w:p>
    <w:p>
      <w:pPr>
        <w:spacing w:after="0" w:line="1" w:lineRule="exact"/>
        <w:rPr>
          <w:sz w:val="20"/>
          <w:szCs w:val="20"/>
          <w:color w:val="auto"/>
        </w:rPr>
      </w:pPr>
    </w:p>
    <w:p>
      <w:pPr>
        <w:ind w:right="2979"/>
        <w:spacing w:after="0" w:line="248" w:lineRule="auto"/>
        <w:rPr>
          <w:sz w:val="20"/>
          <w:szCs w:val="20"/>
          <w:color w:val="auto"/>
        </w:rPr>
      </w:pPr>
      <w:r>
        <w:rPr>
          <w:rFonts w:ascii="Arial" w:cs="Arial" w:eastAsia="Arial" w:hAnsi="Arial"/>
          <w:sz w:val="17"/>
          <w:szCs w:val="17"/>
          <w:color w:val="auto"/>
        </w:rPr>
        <w:t>Pantheon Ventures (Ireland) Designated Activity Company, an Ireland designated activity company Pantheon Ventures Limited, a limited company incorporated in England and Wales</w:t>
      </w:r>
    </w:p>
    <w:p>
      <w:pPr>
        <w:spacing w:after="0" w:line="1" w:lineRule="exact"/>
        <w:rPr>
          <w:sz w:val="20"/>
          <w:szCs w:val="20"/>
          <w:color w:val="auto"/>
        </w:rPr>
      </w:pPr>
    </w:p>
    <w:p>
      <w:pPr>
        <w:ind w:right="4319"/>
        <w:spacing w:after="0" w:line="255" w:lineRule="auto"/>
        <w:rPr>
          <w:sz w:val="20"/>
          <w:szCs w:val="20"/>
          <w:color w:val="auto"/>
        </w:rPr>
      </w:pPr>
      <w:r>
        <w:rPr>
          <w:rFonts w:ascii="Arial" w:cs="Arial" w:eastAsia="Arial" w:hAnsi="Arial"/>
          <w:sz w:val="16"/>
          <w:szCs w:val="16"/>
          <w:color w:val="auto"/>
        </w:rPr>
        <w:t>Pantheon Ventures (UK) LLP, an England and Wales limited liability partnership Parnassus Investments, LLC, a Delaware limited liability company</w:t>
      </w:r>
    </w:p>
    <w:p>
      <w:pPr>
        <w:spacing w:after="0" w:line="235" w:lineRule="auto"/>
        <w:rPr>
          <w:sz w:val="20"/>
          <w:szCs w:val="20"/>
          <w:color w:val="auto"/>
        </w:rPr>
      </w:pPr>
      <w:r>
        <w:rPr>
          <w:rFonts w:ascii="Arial" w:cs="Arial" w:eastAsia="Arial" w:hAnsi="Arial"/>
          <w:sz w:val="18"/>
          <w:szCs w:val="18"/>
          <w:color w:val="auto"/>
        </w:rPr>
        <w:t>Partner Advisory Services, L.P., a Delaware limited partnership*</w:t>
      </w:r>
    </w:p>
    <w:p>
      <w:pPr>
        <w:spacing w:after="0" w:line="235" w:lineRule="auto"/>
        <w:rPr>
          <w:sz w:val="20"/>
          <w:szCs w:val="20"/>
          <w:color w:val="auto"/>
        </w:rPr>
      </w:pPr>
      <w:r>
        <w:rPr>
          <w:rFonts w:ascii="Arial" w:cs="Arial" w:eastAsia="Arial" w:hAnsi="Arial"/>
          <w:sz w:val="18"/>
          <w:szCs w:val="18"/>
          <w:color w:val="auto"/>
        </w:rPr>
        <w:t>Partner Asset Management LLC, a Delaware limited liability company*</w:t>
      </w:r>
    </w:p>
    <w:p>
      <w:pPr>
        <w:spacing w:after="0" w:line="235" w:lineRule="auto"/>
        <w:rPr>
          <w:sz w:val="20"/>
          <w:szCs w:val="20"/>
          <w:color w:val="auto"/>
        </w:rPr>
      </w:pPr>
      <w:r>
        <w:rPr>
          <w:rFonts w:ascii="Arial" w:cs="Arial" w:eastAsia="Arial" w:hAnsi="Arial"/>
          <w:sz w:val="18"/>
          <w:szCs w:val="18"/>
          <w:color w:val="auto"/>
        </w:rPr>
        <w:t>PCM OpCo I, LLC, a Delaware limited liability company*</w:t>
      </w:r>
    </w:p>
    <w:p>
      <w:pPr>
        <w:spacing w:after="0" w:line="234" w:lineRule="auto"/>
        <w:rPr>
          <w:sz w:val="20"/>
          <w:szCs w:val="20"/>
          <w:color w:val="auto"/>
        </w:rPr>
      </w:pPr>
      <w:r>
        <w:rPr>
          <w:rFonts w:ascii="Arial" w:cs="Arial" w:eastAsia="Arial" w:hAnsi="Arial"/>
          <w:sz w:val="18"/>
          <w:szCs w:val="18"/>
          <w:color w:val="auto"/>
        </w:rPr>
        <w:t>PCM OpCo II, LLC, a Delaware limited liability company*</w:t>
      </w:r>
    </w:p>
    <w:p>
      <w:pPr>
        <w:spacing w:after="0" w:line="235" w:lineRule="auto"/>
        <w:rPr>
          <w:sz w:val="20"/>
          <w:szCs w:val="20"/>
          <w:color w:val="auto"/>
        </w:rPr>
      </w:pPr>
      <w:r>
        <w:rPr>
          <w:rFonts w:ascii="Arial" w:cs="Arial" w:eastAsia="Arial" w:hAnsi="Arial"/>
          <w:sz w:val="18"/>
          <w:szCs w:val="18"/>
          <w:color w:val="auto"/>
        </w:rPr>
        <w:t>PFM Acquisition LP, a Delaware limited partnership</w:t>
      </w:r>
    </w:p>
    <w:p>
      <w:pPr>
        <w:spacing w:after="0" w:line="1" w:lineRule="exact"/>
        <w:rPr>
          <w:sz w:val="20"/>
          <w:szCs w:val="20"/>
          <w:color w:val="auto"/>
        </w:rPr>
      </w:pPr>
    </w:p>
    <w:p>
      <w:pPr>
        <w:jc w:val="both"/>
        <w:ind w:right="3259"/>
        <w:spacing w:after="0" w:line="248" w:lineRule="auto"/>
        <w:rPr>
          <w:sz w:val="20"/>
          <w:szCs w:val="20"/>
          <w:color w:val="auto"/>
        </w:rPr>
      </w:pPr>
      <w:r>
        <w:rPr>
          <w:rFonts w:ascii="Arial" w:cs="Arial" w:eastAsia="Arial" w:hAnsi="Arial"/>
          <w:sz w:val="17"/>
          <w:szCs w:val="17"/>
          <w:color w:val="auto"/>
        </w:rPr>
        <w:t>Plymouth (UK) GP Holdings I Limited, a limited company incorporated in England and Wales Plymouth (UK) GP Holdings II Limited, a limited company incorporated in England and Wales Prides Crossing Holdings LLC, a Delaware limited liability company</w:t>
      </w:r>
    </w:p>
    <w:p>
      <w:pPr>
        <w:spacing w:after="0" w:line="236" w:lineRule="auto"/>
        <w:rPr>
          <w:sz w:val="20"/>
          <w:szCs w:val="20"/>
          <w:color w:val="auto"/>
        </w:rPr>
      </w:pPr>
      <w:r>
        <w:rPr>
          <w:rFonts w:ascii="Arial" w:cs="Arial" w:eastAsia="Arial" w:hAnsi="Arial"/>
          <w:sz w:val="18"/>
          <w:szCs w:val="18"/>
          <w:color w:val="auto"/>
        </w:rPr>
        <w:t>River Road Asset Management, LLC, a Delaware limited liability company</w:t>
      </w:r>
    </w:p>
    <w:p>
      <w:pPr>
        <w:spacing w:after="0" w:line="235" w:lineRule="auto"/>
        <w:rPr>
          <w:sz w:val="20"/>
          <w:szCs w:val="20"/>
          <w:color w:val="auto"/>
        </w:rPr>
      </w:pPr>
      <w:r>
        <w:rPr>
          <w:rFonts w:ascii="Arial" w:cs="Arial" w:eastAsia="Arial" w:hAnsi="Arial"/>
          <w:sz w:val="18"/>
          <w:szCs w:val="18"/>
          <w:color w:val="auto"/>
        </w:rPr>
        <w:t>RRAM Acquisition, LLC, a Delaware limited liability company</w:t>
      </w:r>
    </w:p>
    <w:p>
      <w:pPr>
        <w:spacing w:after="0" w:line="235" w:lineRule="auto"/>
        <w:rPr>
          <w:sz w:val="20"/>
          <w:szCs w:val="20"/>
          <w:color w:val="auto"/>
        </w:rPr>
      </w:pPr>
      <w:r>
        <w:rPr>
          <w:rFonts w:ascii="Arial" w:cs="Arial" w:eastAsia="Arial" w:hAnsi="Arial"/>
          <w:sz w:val="18"/>
          <w:szCs w:val="18"/>
          <w:color w:val="auto"/>
        </w:rPr>
        <w:t>Spring GP I, L.P., a Delaware limited partnership*</w:t>
      </w:r>
    </w:p>
    <w:p>
      <w:pPr>
        <w:spacing w:after="0" w:line="219" w:lineRule="auto"/>
        <w:rPr>
          <w:sz w:val="20"/>
          <w:szCs w:val="20"/>
          <w:color w:val="auto"/>
        </w:rPr>
      </w:pPr>
      <w:r>
        <w:rPr>
          <w:rFonts w:ascii="Arial" w:cs="Arial" w:eastAsia="Arial" w:hAnsi="Arial"/>
          <w:sz w:val="18"/>
          <w:szCs w:val="18"/>
          <w:color w:val="auto"/>
        </w:rPr>
        <w:t>Squam Acquisition GP, LLC, a Delaware limited liability company</w:t>
      </w:r>
    </w:p>
    <w:p>
      <w:pPr>
        <w:spacing w:after="0" w:line="235" w:lineRule="auto"/>
        <w:rPr>
          <w:sz w:val="20"/>
          <w:szCs w:val="20"/>
          <w:color w:val="auto"/>
        </w:rPr>
      </w:pPr>
      <w:r>
        <w:rPr>
          <w:rFonts w:ascii="Arial" w:cs="Arial" w:eastAsia="Arial" w:hAnsi="Arial"/>
          <w:sz w:val="18"/>
          <w:szCs w:val="18"/>
          <w:color w:val="auto"/>
        </w:rPr>
        <w:t>Squam Acquisition LP, LLC, a Delaware limited liability company</w:t>
      </w:r>
    </w:p>
    <w:p>
      <w:pPr>
        <w:spacing w:after="0" w:line="234" w:lineRule="auto"/>
        <w:rPr>
          <w:sz w:val="20"/>
          <w:szCs w:val="20"/>
          <w:color w:val="auto"/>
        </w:rPr>
      </w:pPr>
      <w:r>
        <w:rPr>
          <w:rFonts w:ascii="Arial" w:cs="Arial" w:eastAsia="Arial" w:hAnsi="Arial"/>
          <w:sz w:val="18"/>
          <w:szCs w:val="18"/>
          <w:color w:val="auto"/>
        </w:rPr>
        <w:t>Systematic Financial Management, L.P., a Delaware limited partnership</w:t>
      </w:r>
    </w:p>
    <w:p>
      <w:pPr>
        <w:spacing w:after="0" w:line="1" w:lineRule="exact"/>
        <w:rPr>
          <w:sz w:val="20"/>
          <w:szCs w:val="20"/>
          <w:color w:val="auto"/>
        </w:rPr>
      </w:pPr>
    </w:p>
    <w:p>
      <w:pPr>
        <w:ind w:right="3559"/>
        <w:spacing w:after="0" w:line="248" w:lineRule="auto"/>
        <w:rPr>
          <w:sz w:val="20"/>
          <w:szCs w:val="20"/>
          <w:color w:val="auto"/>
        </w:rPr>
      </w:pPr>
      <w:r>
        <w:rPr>
          <w:rFonts w:ascii="Arial" w:cs="Arial" w:eastAsia="Arial" w:hAnsi="Arial"/>
          <w:sz w:val="17"/>
          <w:szCs w:val="17"/>
          <w:color w:val="auto"/>
        </w:rPr>
        <w:t>Systematica Investments GP Limited, a registered private company incorporated in Jersey* Systematica Investments Limited, a registered private company incorporated in Jersey* Systematica Investments LP, a Guernsey limited partnership*</w:t>
      </w:r>
    </w:p>
    <w:p>
      <w:pPr>
        <w:spacing w:after="0" w:line="236" w:lineRule="auto"/>
        <w:rPr>
          <w:sz w:val="20"/>
          <w:szCs w:val="20"/>
          <w:color w:val="auto"/>
        </w:rPr>
      </w:pPr>
      <w:r>
        <w:rPr>
          <w:rFonts w:ascii="Arial" w:cs="Arial" w:eastAsia="Arial" w:hAnsi="Arial"/>
          <w:sz w:val="18"/>
          <w:szCs w:val="18"/>
          <w:color w:val="auto"/>
        </w:rPr>
        <w:t>The Renaissance Group LLC, a Delaware limited liability company</w:t>
      </w:r>
    </w:p>
    <w:p>
      <w:pPr>
        <w:spacing w:after="0" w:line="235" w:lineRule="auto"/>
        <w:rPr>
          <w:sz w:val="20"/>
          <w:szCs w:val="20"/>
          <w:color w:val="auto"/>
        </w:rPr>
      </w:pPr>
      <w:r>
        <w:rPr>
          <w:rFonts w:ascii="Arial" w:cs="Arial" w:eastAsia="Arial" w:hAnsi="Arial"/>
          <w:sz w:val="18"/>
          <w:szCs w:val="18"/>
          <w:color w:val="auto"/>
        </w:rPr>
        <w:t>Third Avenue Holdings Delaware LLC, a Delaware limited liability company</w:t>
      </w:r>
    </w:p>
    <w:p>
      <w:pPr>
        <w:spacing w:after="0" w:line="235" w:lineRule="auto"/>
        <w:rPr>
          <w:sz w:val="20"/>
          <w:szCs w:val="20"/>
          <w:color w:val="auto"/>
        </w:rPr>
      </w:pPr>
      <w:r>
        <w:rPr>
          <w:rFonts w:ascii="Arial" w:cs="Arial" w:eastAsia="Arial" w:hAnsi="Arial"/>
          <w:sz w:val="18"/>
          <w:szCs w:val="18"/>
          <w:color w:val="auto"/>
        </w:rPr>
        <w:t>TimesSquare Capital Management, LLC, a Delaware limited liability company</w:t>
      </w:r>
    </w:p>
    <w:p>
      <w:pPr>
        <w:spacing w:after="0" w:line="234" w:lineRule="auto"/>
        <w:rPr>
          <w:sz w:val="20"/>
          <w:szCs w:val="20"/>
          <w:color w:val="auto"/>
        </w:rPr>
      </w:pPr>
      <w:r>
        <w:rPr>
          <w:rFonts w:ascii="Arial" w:cs="Arial" w:eastAsia="Arial" w:hAnsi="Arial"/>
          <w:sz w:val="18"/>
          <w:szCs w:val="18"/>
          <w:color w:val="auto"/>
        </w:rPr>
        <w:t>TimesSquare Manager Member, LLC, a Delaware limited liability company</w:t>
      </w:r>
    </w:p>
    <w:p>
      <w:pPr>
        <w:spacing w:after="0" w:line="235" w:lineRule="auto"/>
        <w:rPr>
          <w:sz w:val="20"/>
          <w:szCs w:val="20"/>
          <w:color w:val="auto"/>
        </w:rPr>
      </w:pPr>
      <w:r>
        <w:rPr>
          <w:rFonts w:ascii="Arial" w:cs="Arial" w:eastAsia="Arial" w:hAnsi="Arial"/>
          <w:sz w:val="18"/>
          <w:szCs w:val="18"/>
          <w:color w:val="auto"/>
        </w:rPr>
        <w:t>Titan NJ GP Holdings, Inc., a Delaware corporation</w:t>
      </w:r>
    </w:p>
    <w:p>
      <w:pPr>
        <w:spacing w:after="0" w:line="235" w:lineRule="auto"/>
        <w:rPr>
          <w:sz w:val="20"/>
          <w:szCs w:val="20"/>
          <w:color w:val="auto"/>
        </w:rPr>
      </w:pPr>
      <w:r>
        <w:rPr>
          <w:rFonts w:ascii="Arial" w:cs="Arial" w:eastAsia="Arial" w:hAnsi="Arial"/>
          <w:sz w:val="18"/>
          <w:szCs w:val="18"/>
          <w:color w:val="auto"/>
        </w:rPr>
        <w:t>Titan NJ LP Holdings, LLC, a Delaware limited liability company</w:t>
      </w:r>
    </w:p>
    <w:p>
      <w:pPr>
        <w:spacing w:after="0" w:line="235" w:lineRule="auto"/>
        <w:rPr>
          <w:sz w:val="20"/>
          <w:szCs w:val="20"/>
          <w:color w:val="auto"/>
        </w:rPr>
      </w:pPr>
      <w:r>
        <w:rPr>
          <w:rFonts w:ascii="Arial" w:cs="Arial" w:eastAsia="Arial" w:hAnsi="Arial"/>
          <w:sz w:val="18"/>
          <w:szCs w:val="18"/>
          <w:color w:val="auto"/>
        </w:rPr>
        <w:t>TMF Corp., a Delaware corporation</w:t>
      </w:r>
    </w:p>
    <w:p>
      <w:pPr>
        <w:spacing w:after="0" w:line="219" w:lineRule="auto"/>
        <w:rPr>
          <w:sz w:val="20"/>
          <w:szCs w:val="20"/>
          <w:color w:val="auto"/>
        </w:rPr>
      </w:pPr>
      <w:r>
        <w:rPr>
          <w:rFonts w:ascii="Arial" w:cs="Arial" w:eastAsia="Arial" w:hAnsi="Arial"/>
          <w:sz w:val="18"/>
          <w:szCs w:val="18"/>
          <w:color w:val="auto"/>
        </w:rPr>
        <w:t>Topspin Acquisition, LLC, a Delaware limited liability company</w:t>
      </w:r>
    </w:p>
    <w:p>
      <w:pPr>
        <w:spacing w:after="0" w:line="235" w:lineRule="auto"/>
        <w:rPr>
          <w:sz w:val="20"/>
          <w:szCs w:val="20"/>
          <w:color w:val="auto"/>
        </w:rPr>
      </w:pPr>
      <w:r>
        <w:rPr>
          <w:rFonts w:ascii="Arial" w:cs="Arial" w:eastAsia="Arial" w:hAnsi="Arial"/>
          <w:sz w:val="18"/>
          <w:szCs w:val="18"/>
          <w:color w:val="auto"/>
        </w:rPr>
        <w:t>Tweedy, Browne Company LLC, a Delaware limited liability company</w:t>
      </w:r>
    </w:p>
    <w:p>
      <w:pPr>
        <w:spacing w:after="0" w:line="235" w:lineRule="auto"/>
        <w:rPr>
          <w:sz w:val="20"/>
          <w:szCs w:val="20"/>
          <w:color w:val="auto"/>
        </w:rPr>
      </w:pPr>
      <w:r>
        <w:rPr>
          <w:rFonts w:ascii="Arial" w:cs="Arial" w:eastAsia="Arial" w:hAnsi="Arial"/>
          <w:sz w:val="18"/>
          <w:szCs w:val="18"/>
          <w:color w:val="auto"/>
        </w:rPr>
        <w:t>Union Acquisition, LLC, a Delaware limited liability company</w:t>
      </w:r>
    </w:p>
    <w:p>
      <w:pPr>
        <w:spacing w:after="0" w:line="234" w:lineRule="auto"/>
        <w:rPr>
          <w:sz w:val="20"/>
          <w:szCs w:val="20"/>
          <w:color w:val="auto"/>
        </w:rPr>
      </w:pPr>
      <w:r>
        <w:rPr>
          <w:rFonts w:ascii="Arial" w:cs="Arial" w:eastAsia="Arial" w:hAnsi="Arial"/>
          <w:sz w:val="18"/>
          <w:szCs w:val="18"/>
          <w:color w:val="auto"/>
        </w:rPr>
        <w:t>ValueAct Holdings II, L.P., a Delaware limited partnership*</w:t>
      </w:r>
    </w:p>
    <w:p>
      <w:pPr>
        <w:spacing w:after="0" w:line="235" w:lineRule="auto"/>
        <w:rPr>
          <w:sz w:val="20"/>
          <w:szCs w:val="20"/>
          <w:color w:val="auto"/>
        </w:rPr>
      </w:pPr>
      <w:r>
        <w:rPr>
          <w:rFonts w:ascii="Arial" w:cs="Arial" w:eastAsia="Arial" w:hAnsi="Arial"/>
          <w:sz w:val="18"/>
          <w:szCs w:val="18"/>
          <w:color w:val="auto"/>
        </w:rPr>
        <w:t>ValueAct Holdings GP, LLC, a Delaware limited liability company*</w:t>
      </w:r>
    </w:p>
    <w:p>
      <w:pPr>
        <w:spacing w:after="0" w:line="235" w:lineRule="auto"/>
        <w:rPr>
          <w:sz w:val="20"/>
          <w:szCs w:val="20"/>
          <w:color w:val="auto"/>
        </w:rPr>
      </w:pPr>
      <w:r>
        <w:rPr>
          <w:rFonts w:ascii="Arial" w:cs="Arial" w:eastAsia="Arial" w:hAnsi="Arial"/>
          <w:sz w:val="18"/>
          <w:szCs w:val="18"/>
          <w:color w:val="auto"/>
        </w:rPr>
        <w:t>ValueAct Holdings, L.P., a Delaware limited partnership*</w:t>
      </w:r>
    </w:p>
    <w:p>
      <w:pPr>
        <w:spacing w:after="0" w:line="235" w:lineRule="auto"/>
        <w:rPr>
          <w:sz w:val="20"/>
          <w:szCs w:val="20"/>
          <w:color w:val="auto"/>
        </w:rPr>
      </w:pPr>
      <w:r>
        <w:rPr>
          <w:rFonts w:ascii="Arial" w:cs="Arial" w:eastAsia="Arial" w:hAnsi="Arial"/>
          <w:sz w:val="18"/>
          <w:szCs w:val="18"/>
          <w:color w:val="auto"/>
        </w:rPr>
        <w:t>VAM Bidco Limited, a private UK limited company</w:t>
      </w:r>
    </w:p>
    <w:p>
      <w:pPr>
        <w:spacing w:after="0" w:line="235" w:lineRule="auto"/>
        <w:rPr>
          <w:sz w:val="20"/>
          <w:szCs w:val="20"/>
          <w:color w:val="auto"/>
        </w:rPr>
      </w:pPr>
      <w:r>
        <w:rPr>
          <w:rFonts w:ascii="Arial" w:cs="Arial" w:eastAsia="Arial" w:hAnsi="Arial"/>
          <w:sz w:val="18"/>
          <w:szCs w:val="18"/>
          <w:color w:val="auto"/>
        </w:rPr>
        <w:t>Veritable, LP, a Delaware limited partnership</w:t>
      </w:r>
    </w:p>
    <w:p>
      <w:pPr>
        <w:spacing w:after="0" w:line="234" w:lineRule="auto"/>
        <w:rPr>
          <w:sz w:val="20"/>
          <w:szCs w:val="20"/>
          <w:color w:val="auto"/>
        </w:rPr>
      </w:pPr>
      <w:r>
        <w:rPr>
          <w:rFonts w:ascii="Arial" w:cs="Arial" w:eastAsia="Arial" w:hAnsi="Arial"/>
          <w:sz w:val="18"/>
          <w:szCs w:val="18"/>
          <w:color w:val="auto"/>
        </w:rPr>
        <w:t>Veritas Asset Management LLP, a UK limited liability partnership</w:t>
      </w:r>
    </w:p>
    <w:p>
      <w:pPr>
        <w:spacing w:after="0" w:line="235" w:lineRule="auto"/>
        <w:rPr>
          <w:sz w:val="20"/>
          <w:szCs w:val="20"/>
          <w:color w:val="auto"/>
        </w:rPr>
      </w:pPr>
      <w:r>
        <w:rPr>
          <w:rFonts w:ascii="Arial" w:cs="Arial" w:eastAsia="Arial" w:hAnsi="Arial"/>
          <w:sz w:val="18"/>
          <w:szCs w:val="18"/>
          <w:color w:val="auto"/>
        </w:rPr>
        <w:t>Watson Acquisition, LLC, a Delaware limited liability company</w:t>
      </w:r>
    </w:p>
    <w:p>
      <w:pPr>
        <w:spacing w:after="0" w:line="235" w:lineRule="auto"/>
        <w:rPr>
          <w:sz w:val="20"/>
          <w:szCs w:val="20"/>
          <w:color w:val="auto"/>
        </w:rPr>
      </w:pPr>
      <w:r>
        <w:rPr>
          <w:rFonts w:ascii="Arial" w:cs="Arial" w:eastAsia="Arial" w:hAnsi="Arial"/>
          <w:sz w:val="18"/>
          <w:szCs w:val="18"/>
          <w:color w:val="auto"/>
        </w:rPr>
        <w:t>Wealth Partners Capital Group, LLC, a Delaware limited liability company*</w:t>
      </w:r>
    </w:p>
    <w:p>
      <w:pPr>
        <w:spacing w:after="0" w:line="235" w:lineRule="auto"/>
        <w:rPr>
          <w:sz w:val="20"/>
          <w:szCs w:val="20"/>
          <w:color w:val="auto"/>
        </w:rPr>
      </w:pPr>
      <w:r>
        <w:rPr>
          <w:rFonts w:ascii="Arial" w:cs="Arial" w:eastAsia="Arial" w:hAnsi="Arial"/>
          <w:sz w:val="18"/>
          <w:szCs w:val="18"/>
          <w:color w:val="auto"/>
        </w:rPr>
        <w:t>Welch &amp; Forbes LLC, a Delaware limited liability company</w:t>
      </w:r>
    </w:p>
    <w:p>
      <w:pPr>
        <w:spacing w:after="0" w:line="219" w:lineRule="auto"/>
        <w:rPr>
          <w:sz w:val="20"/>
          <w:szCs w:val="20"/>
          <w:color w:val="auto"/>
        </w:rPr>
      </w:pPr>
      <w:r>
        <w:rPr>
          <w:rFonts w:ascii="Arial" w:cs="Arial" w:eastAsia="Arial" w:hAnsi="Arial"/>
          <w:sz w:val="18"/>
          <w:szCs w:val="18"/>
          <w:color w:val="auto"/>
        </w:rPr>
        <w:t>Windermere Cayman LP, a Cayman Islands exempted limited partnership</w:t>
      </w:r>
    </w:p>
    <w:p>
      <w:pPr>
        <w:spacing w:after="0" w:line="235" w:lineRule="auto"/>
        <w:rPr>
          <w:sz w:val="20"/>
          <w:szCs w:val="20"/>
          <w:color w:val="auto"/>
        </w:rPr>
      </w:pPr>
      <w:r>
        <w:rPr>
          <w:rFonts w:ascii="Arial" w:cs="Arial" w:eastAsia="Arial" w:hAnsi="Arial"/>
          <w:sz w:val="18"/>
          <w:szCs w:val="18"/>
          <w:color w:val="auto"/>
        </w:rPr>
        <w:t>Winton Group Limited, a UK private limited company*</w:t>
      </w:r>
    </w:p>
    <w:p>
      <w:pPr>
        <w:spacing w:after="0"/>
        <w:rPr>
          <w:sz w:val="20"/>
          <w:szCs w:val="20"/>
          <w:color w:val="auto"/>
        </w:rPr>
      </w:pPr>
      <w:r>
        <w:rPr>
          <w:rFonts w:ascii="Arial" w:cs="Arial" w:eastAsia="Arial" w:hAnsi="Arial"/>
          <w:sz w:val="18"/>
          <w:szCs w:val="18"/>
          <w:color w:val="auto"/>
        </w:rPr>
        <w:t>Yacktman Asset Management LP, a Delaware limited partnership</w:t>
      </w:r>
    </w:p>
    <w:p>
      <w:pPr>
        <w:sectPr>
          <w:pgSz w:w="11900" w:h="16838" w:orient="portrait"/>
          <w:cols w:equalWidth="0" w:num="1">
            <w:col w:w="10139"/>
          </w:cols>
          <w:pgMar w:left="320" w:top="1408" w:right="1440" w:bottom="1440" w:gutter="0" w:footer="0" w:header="0"/>
        </w:sectPr>
      </w:pPr>
    </w:p>
    <w:bookmarkStart w:id="89" w:name="page90"/>
    <w:bookmarkEnd w:id="89"/>
    <w:p>
      <w:pPr>
        <w:spacing w:after="0"/>
        <w:rPr>
          <w:sz w:val="20"/>
          <w:szCs w:val="20"/>
          <w:color w:val="auto"/>
        </w:rPr>
      </w:pPr>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r>
        <w:rPr>
          <w:rFonts w:ascii="Arial" w:cs="Arial" w:eastAsia="Arial" w:hAnsi="Arial"/>
          <w:sz w:val="22"/>
          <w:szCs w:val="22"/>
          <w:color w:val="000000"/>
        </w:rPr>
        <w:t>-- 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333-263148) and S-8 (No. 333-240091, No. 333-190412, No. 333-175912, No. 333-135416, No. 333-129748, No. 333-100628, No. 333-84485, and No. 333-72967) of Affiliated Managers Group, Inc. of our report dated February 17,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1240"/>
          </w:cols>
          <w:pgMar w:left="320" w:top="9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Arial" w:cs="Arial" w:eastAsia="Arial" w:hAnsi="Arial"/>
          <w:sz w:val="18"/>
          <w:szCs w:val="18"/>
          <w:u w:val="single" w:color="auto"/>
          <w:color w:val="0000FF"/>
        </w:rPr>
        <w:t>Exhibit 23.1</w:t>
      </w:r>
    </w:p>
    <w:p>
      <w:pPr>
        <w:sectPr>
          <w:pgSz w:w="11900" w:h="16838" w:orient="portrait"/>
          <w:cols w:equalWidth="0" w:num="1">
            <w:col w:w="10139"/>
          </w:cols>
          <w:pgMar w:left="320" w:top="1043" w:right="1440" w:bottom="1440" w:gutter="0" w:footer="0" w:header="0"/>
        </w:sectPr>
      </w:pPr>
    </w:p>
    <w:bookmarkStart w:id="91" w:name="page92"/>
    <w:bookmarkEnd w:id="91"/>
    <w:p>
      <w:pPr>
        <w:spacing w:after="0"/>
        <w:rPr>
          <w:sz w:val="20"/>
          <w:szCs w:val="20"/>
          <w:color w:val="auto"/>
        </w:rPr>
      </w:pPr>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r>
        <w:rPr>
          <w:rFonts w:ascii="Arial" w:cs="Arial" w:eastAsia="Arial" w:hAnsi="Arial"/>
          <w:sz w:val="22"/>
          <w:szCs w:val="22"/>
          <w:color w:val="000000"/>
        </w:rPr>
        <w:t>-- 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14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5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Jay C. Horgen</w:t>
      </w:r>
    </w:p>
    <w:p>
      <w:pPr>
        <w:ind w:left="76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Arial" w:cs="Arial" w:eastAsia="Arial" w:hAnsi="Arial"/>
          <w:sz w:val="18"/>
          <w:szCs w:val="18"/>
          <w:u w:val="single" w:color="auto"/>
          <w:color w:val="0000FF"/>
        </w:rPr>
        <w:t>Exhibit 31.1</w:t>
      </w:r>
    </w:p>
    <w:p>
      <w:pPr>
        <w:sectPr>
          <w:pgSz w:w="11900" w:h="16838" w:orient="portrait"/>
          <w:cols w:equalWidth="0" w:num="1">
            <w:col w:w="10139"/>
          </w:cols>
          <w:pgMar w:left="320" w:top="1043" w:right="1440" w:bottom="1440" w:gutter="0" w:footer="0" w:header="0"/>
        </w:sectPr>
      </w:pPr>
    </w:p>
    <w:bookmarkStart w:id="93" w:name="page94"/>
    <w:bookmarkEnd w:id="93"/>
    <w:p>
      <w:pPr>
        <w:spacing w:after="0"/>
        <w:rPr>
          <w:sz w:val="20"/>
          <w:szCs w:val="20"/>
          <w:color w:val="auto"/>
        </w:rPr>
      </w:pPr>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r>
        <w:rPr>
          <w:rFonts w:ascii="Arial" w:cs="Arial" w:eastAsia="Arial" w:hAnsi="Arial"/>
          <w:sz w:val="22"/>
          <w:szCs w:val="22"/>
          <w:color w:val="000000"/>
        </w:rPr>
        <w:t>-- 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M. Wojcik, certify that:</w:t>
      </w:r>
    </w:p>
    <w:p>
      <w:pPr>
        <w:spacing w:after="0" w:line="14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13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Thomas M. Wojcik</w:t>
      </w:r>
    </w:p>
    <w:p>
      <w:pPr>
        <w:ind w:left="76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Arial" w:cs="Arial" w:eastAsia="Arial" w:hAnsi="Arial"/>
          <w:sz w:val="18"/>
          <w:szCs w:val="18"/>
          <w:u w:val="single" w:color="auto"/>
          <w:color w:val="0000FF"/>
        </w:rPr>
        <w:t>Exhibit 31.2</w:t>
      </w:r>
    </w:p>
    <w:p>
      <w:pPr>
        <w:sectPr>
          <w:pgSz w:w="11900" w:h="16838" w:orient="portrait"/>
          <w:cols w:equalWidth="0" w:num="1">
            <w:col w:w="10139"/>
          </w:cols>
          <w:pgMar w:left="320" w:top="1043" w:right="1440" w:bottom="1440" w:gutter="0" w:footer="0" w:header="0"/>
        </w:sectPr>
      </w:pPr>
    </w:p>
    <w:bookmarkStart w:id="95" w:name="page96"/>
    <w:bookmarkEnd w:id="95"/>
    <w:p>
      <w:pPr>
        <w:spacing w:after="0"/>
        <w:rPr>
          <w:sz w:val="20"/>
          <w:szCs w:val="20"/>
          <w:color w:val="auto"/>
        </w:rPr>
      </w:pPr>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r>
        <w:rPr>
          <w:rFonts w:ascii="Arial" w:cs="Arial" w:eastAsia="Arial" w:hAnsi="Arial"/>
          <w:sz w:val="22"/>
          <w:szCs w:val="22"/>
          <w:color w:val="000000"/>
        </w:rPr>
        <w:t>-- 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2022 as filed with the Securities and Exchange Commission on the date hereof (the "Report"), the undersigned, Jay C. Horgen, President and Chief Executive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17, 2023</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Jay C. Horgen</w:t>
      </w:r>
    </w:p>
    <w:p>
      <w:pPr>
        <w:ind w:left="58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Arial" w:cs="Arial" w:eastAsia="Arial" w:hAnsi="Arial"/>
          <w:sz w:val="18"/>
          <w:szCs w:val="18"/>
          <w:u w:val="single" w:color="auto"/>
          <w:color w:val="0000FF"/>
        </w:rPr>
        <w:t>Exhibit 32.1</w:t>
      </w:r>
    </w:p>
    <w:p>
      <w:pPr>
        <w:sectPr>
          <w:pgSz w:w="11900" w:h="16838" w:orient="portrait"/>
          <w:cols w:equalWidth="0" w:num="1">
            <w:col w:w="10139"/>
          </w:cols>
          <w:pgMar w:left="320" w:top="1043" w:right="1440" w:bottom="1440" w:gutter="0" w:footer="0" w:header="0"/>
        </w:sectPr>
      </w:pPr>
    </w:p>
    <w:bookmarkStart w:id="97" w:name="page98"/>
    <w:bookmarkEnd w:id="97"/>
    <w:p>
      <w:pPr>
        <w:spacing w:after="0"/>
        <w:rPr>
          <w:sz w:val="20"/>
          <w:szCs w:val="20"/>
          <w:color w:val="auto"/>
        </w:rPr>
      </w:pPr>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r>
        <w:rPr>
          <w:rFonts w:ascii="Arial" w:cs="Arial" w:eastAsia="Arial" w:hAnsi="Arial"/>
          <w:sz w:val="22"/>
          <w:szCs w:val="22"/>
          <w:color w:val="000000"/>
        </w:rPr>
        <w:t>-- 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2022 as filed with the Securities and Exchange Commission on the date hereof (the "Report"), the undersigned, Thomas M. Wojcik, Chief Financial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17, 2023</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Thomas M. Wojcik</w:t>
      </w:r>
    </w:p>
    <w:p>
      <w:pPr>
        <w:ind w:left="58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Arial" w:cs="Arial" w:eastAsia="Arial" w:hAnsi="Arial"/>
          <w:sz w:val="18"/>
          <w:szCs w:val="18"/>
          <w:u w:val="single" w:color="auto"/>
          <w:color w:val="0000FF"/>
        </w:rPr>
        <w:t>Exhibit 32.2</w:t>
      </w:r>
    </w:p>
    <w:sectPr>
      <w:pgSz w:w="11900" w:h="16838" w:orient="portrait"/>
      <w:cols w:equalWidth="0" w:num="1">
        <w:col w:w="10139"/>
      </w:cols>
      <w:pgMar w:left="32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3"/>
    </w:lvl>
  </w:abstractNum>
  <w:abstractNum w:abstractNumId="7">
    <w:nsid w:val="6CEAF087"/>
    <w:multiLevelType w:val="hybridMultilevel"/>
    <w:lvl w:ilvl="0">
      <w:lvlJc w:val="left"/>
      <w:lvlText w:val="\emdash "/>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4"/>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2"/>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lowerLetter"/>
      <w:start w:val="6"/>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4"/>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5"/>
    </w:lvl>
  </w:abstractNum>
  <w:abstractNum w:abstractNumId="32">
    <w:nsid w:val="2CD89A32"/>
    <w:multiLevelType w:val="hybridMultilevel"/>
    <w:lvl w:ilvl="0">
      <w:lvlJc w:val="left"/>
      <w:lvlText w:val="%1."/>
      <w:numFmt w:val="decimal"/>
      <w:start w:val="6"/>
    </w:lvl>
  </w:abstractNum>
  <w:abstractNum w:abstractNumId="33">
    <w:nsid w:val="57E4CCAF"/>
    <w:multiLevelType w:val="hybridMultilevel"/>
    <w:lvl w:ilvl="0">
      <w:lvlJc w:val="left"/>
      <w:lvlText w:val="%1."/>
      <w:numFmt w:val="decimal"/>
      <w:start w:val="7"/>
    </w:lvl>
  </w:abstractNum>
  <w:abstractNum w:abstractNumId="34">
    <w:nsid w:val="7A6D8D3C"/>
    <w:multiLevelType w:val="hybridMultilevel"/>
    <w:lvl w:ilvl="0">
      <w:lvlJc w:val="left"/>
      <w:lvlText w:val="%1."/>
      <w:numFmt w:val="decimal"/>
      <w:start w:val="8"/>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9"/>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2"/>
    </w:lvl>
  </w:abstractNum>
  <w:abstractNum w:abstractNumId="42">
    <w:nsid w:val="579478FE"/>
    <w:multiLevelType w:val="hybridMultilevel"/>
    <w:lvl w:ilvl="0">
      <w:lvlJc w:val="left"/>
      <w:lvlText w:val="%1."/>
      <w:numFmt w:val="decimal"/>
      <w:start w:val="13"/>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
      <w:numFmt w:val="bullet"/>
      <w:start w:val="1"/>
    </w:lvl>
    <w:lvl w:ilvl="1">
      <w:lvlJc w:val="left"/>
      <w:lvlText w:val="%2"/>
      <w:numFmt w:val="decimal"/>
      <w:start w:val="10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7" Type="http://schemas.openxmlformats.org/officeDocument/2006/relationships/image" Target="media/image103.png"/><Relationship Id="rId153"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10" Type="http://schemas.openxmlformats.org/officeDocument/2006/relationships/hyperlink" Target="http://www.sec.gov/Archives/edgar/data/1004434/0000950135-97-004266.txt" TargetMode="External"/><Relationship Id="rId111" Type="http://schemas.openxmlformats.org/officeDocument/2006/relationships/hyperlink" Target="http://www.sec.gov/Archives/edgar/data/1004434/000110465905056203/a05-20277_1ex4d1.htm" TargetMode="External"/><Relationship Id="rId112" Type="http://schemas.openxmlformats.org/officeDocument/2006/relationships/hyperlink" Target="http://www.sec.gov/Archives/edgar/data/1004434/000110465906028490/a06-9042_1def14a.htm#Appendixc_132928" TargetMode="External"/><Relationship Id="rId113" Type="http://schemas.openxmlformats.org/officeDocument/2006/relationships/hyperlink" Target="http://www.sec.gov/Archives/edgar/data/1004434/000100443417000019/amg_06302017xexhibit31.htm" TargetMode="External"/><Relationship Id="rId114" Type="http://schemas.openxmlformats.org/officeDocument/2006/relationships/hyperlink" Target="https://www.sec.gov/Archives/edgar/data/1004434/000100443422000054/amg_093022xexhibit31.htm" TargetMode="External"/><Relationship Id="rId115" Type="http://schemas.openxmlformats.org/officeDocument/2006/relationships/hyperlink" Target="http://www.sec.gov/Archives/edgar/data/1004434/000100443418000004/amgexhibit41specimens0c8.htm" TargetMode="External"/><Relationship Id="rId116" Type="http://schemas.openxmlformats.org/officeDocument/2006/relationships/hyperlink" Target="http://www.sec.gov/Archives/edgar/data/1004434/000110465907075659/a07-25047_2ex4d2.htm" TargetMode="External"/><Relationship Id="rId117" Type="http://schemas.openxmlformats.org/officeDocument/2006/relationships/hyperlink" Target="http://www.sec.gov/Archives/edgar/data/1004434/000110465907075659/a07-25047_2ex4d3.htm" TargetMode="External"/><Relationship Id="rId118" Type="http://schemas.openxmlformats.org/officeDocument/2006/relationships/hyperlink" Target="http://www.sec.gov/Archives/edgar/data/1004434/000100443414000006/exhibit44-x2006trupsfirsts.htm" TargetMode="External"/><Relationship Id="rId119" Type="http://schemas.openxmlformats.org/officeDocument/2006/relationships/hyperlink" Target="http://www.sec.gov/Archives/edgar/data/1004434/000110465907075659/a07-25047_2ex4d1.htm" TargetMode="External"/><Relationship Id="rId120" Type="http://schemas.openxmlformats.org/officeDocument/2006/relationships/hyperlink" Target="http://www.sec.gov/Archives/edgar/data/1004434/000110465914008462/a14-5385_1ex4d1.htm" TargetMode="External"/><Relationship Id="rId121" Type="http://schemas.openxmlformats.org/officeDocument/2006/relationships/hyperlink" Target="http://www.sec.gov/Archives/edgar/data/1004434/000110465914008462/a14-5385_1ex4d2.htm" TargetMode="External"/><Relationship Id="rId122" Type="http://schemas.openxmlformats.org/officeDocument/2006/relationships/hyperlink" Target="http://www.sec.gov/Archives/edgar/data/1004434/000110465915010489/a14-25059_5ex4d2.htm" TargetMode="External"/><Relationship Id="rId123" Type="http://schemas.openxmlformats.org/officeDocument/2006/relationships/hyperlink" Target="https://www.sec.gov/Archives/edgar/data/1004434/000119312519088500/d666868dex41.htm" TargetMode="External"/><Relationship Id="rId124" Type="http://schemas.openxmlformats.org/officeDocument/2006/relationships/hyperlink" Target="http://www.sec.gov/Archives/edgar/data/1004434/000119312519088500/d666868dex42.htm" TargetMode="External"/><Relationship Id="rId125" Type="http://schemas.openxmlformats.org/officeDocument/2006/relationships/hyperlink" Target="http://www.sec.gov/Archives/edgar/data/1004434/000119312520252331/d82761dex42.htm" TargetMode="External"/><Relationship Id="rId126" Type="http://schemas.openxmlformats.org/officeDocument/2006/relationships/hyperlink" Target="https://www.sec.gov/Archives/edgar/data/1004434/000119312521214114/d205012dex42.htm" TargetMode="External"/><Relationship Id="rId128" Type="http://schemas.openxmlformats.org/officeDocument/2006/relationships/hyperlink" Target="http://www.sec.gov/Archives/edgar/data/1004434/000119312520162203/d928407dex41.htm" TargetMode="External"/><Relationship Id="rId129" Type="http://schemas.openxmlformats.org/officeDocument/2006/relationships/hyperlink" Target="http://www.sec.gov/Archives/edgar/data/1004434/000119312520162203/d928407dex42.htm" TargetMode="External"/><Relationship Id="rId130" Type="http://schemas.openxmlformats.org/officeDocument/2006/relationships/hyperlink" Target="https://www.sec.gov/Archives/edgar/data/1004434/000100443422000017/amg_exhibit415x12312021.htm" TargetMode="External"/><Relationship Id="rId131" Type="http://schemas.openxmlformats.org/officeDocument/2006/relationships/hyperlink" Target="http://www.sec.gov/Archives/edgar/data/1004434/000091205700015163/0000912057-00-015163.txt" TargetMode="External"/><Relationship Id="rId132" Type="http://schemas.openxmlformats.org/officeDocument/2006/relationships/hyperlink" Target="http://www.sec.gov/Archives/edgar/data/1004434/000104746915004126/a2224331zdef14a.htm#toc_la78601_1" TargetMode="External"/><Relationship Id="rId133" Type="http://schemas.openxmlformats.org/officeDocument/2006/relationships/hyperlink" Target="http://www.sec.gov/Archives/edgar/data/1004434/000104746904016516/a2135956zex-10_1.txt" TargetMode="External"/><Relationship Id="rId134" Type="http://schemas.openxmlformats.org/officeDocument/2006/relationships/hyperlink" Target="http://www.sec.gov/Archives/edgar/data/1004434/000100443420000029/amg06302020exhibit104.htm" TargetMode="External"/><Relationship Id="rId135" Type="http://schemas.openxmlformats.org/officeDocument/2006/relationships/hyperlink" Target="http://www.sec.gov/Archives/edgar/data/1004434/000104746904016516/a2135956zex-10_2.txt" TargetMode="External"/><Relationship Id="rId136" Type="http://schemas.openxmlformats.org/officeDocument/2006/relationships/hyperlink" Target="http://www.sec.gov/Archives/edgar/data/1004434/000100443420000029/amg06302020exhibit103.htm" TargetMode="External"/><Relationship Id="rId137" Type="http://schemas.openxmlformats.org/officeDocument/2006/relationships/hyperlink" Target="http://www.sec.gov/Archives/edgar/data/1004434/000110465906028490/a06-9042_1def14a.htm#AppendixB_193232" TargetMode="External"/><Relationship Id="rId138" Type="http://schemas.openxmlformats.org/officeDocument/2006/relationships/hyperlink" Target="http://www.sec.gov/Archives/edgar/data/1004434/000100443420000029/amg06302020exhibit102.htm" TargetMode="External"/><Relationship Id="rId139" Type="http://schemas.openxmlformats.org/officeDocument/2006/relationships/hyperlink" Target="http://www.sec.gov/Archives/edgar/data/1004434/000100443414000006/exhibit106-xamendedandrest.htm" TargetMode="External"/><Relationship Id="rId140" Type="http://schemas.openxmlformats.org/officeDocument/2006/relationships/hyperlink" Target="http://www.sec.gov/Archives/edgar/data/1004434/000110465905054205/a05-18540_1ex10d1.htm" TargetMode="External"/><Relationship Id="rId141" Type="http://schemas.openxmlformats.org/officeDocument/2006/relationships/hyperlink" Target="http://www.sec.gov/Archives/edgar/data/1004434/000104746909002123/a2190957zex-10_9.htm" TargetMode="External"/><Relationship Id="rId142" Type="http://schemas.openxmlformats.org/officeDocument/2006/relationships/hyperlink" Target="http://www.sec.gov/Archives/edgar/data/1004434/000104746911003828/a2203474zdef14a.htm#toc_cm71601_1" TargetMode="External"/><Relationship Id="rId143" Type="http://schemas.openxmlformats.org/officeDocument/2006/relationships/hyperlink" Target="http://www.sec.gov/Archives/edgar/data/1004434/000100443420000029/amg06302020exhibit101.htm" TargetMode="External"/><Relationship Id="rId144" Type="http://schemas.openxmlformats.org/officeDocument/2006/relationships/hyperlink" Target="http://www.sec.gov/Archives/edgar/data/1004434/000104746913005205/a2214725zdef14a.htm#toc_la17201_1" TargetMode="External"/><Relationship Id="rId145" Type="http://schemas.openxmlformats.org/officeDocument/2006/relationships/hyperlink" Target="http://www.sec.gov/Archives/edgar/data/1004434/000100443420000011/amgexhibit1014123119.htm" TargetMode="External"/><Relationship Id="rId146" Type="http://schemas.openxmlformats.org/officeDocument/2006/relationships/hyperlink" Target="http://www.sec.gov/Archives/edgar/data/1004434/000119312520198612/d919223dex47.htm" TargetMode="External"/><Relationship Id="rId147" Type="http://schemas.openxmlformats.org/officeDocument/2006/relationships/hyperlink" Target="http://www.sec.gov/Archives/edgar/data/1004434/000100443420000011/amgexhibit1015123119.htm" TargetMode="External"/><Relationship Id="rId148" Type="http://schemas.openxmlformats.org/officeDocument/2006/relationships/hyperlink" Target="http://www.sec.gov/Archives/edgar/data/1004434/000100443420000029/amg06302020exhibit1011.htm" TargetMode="External"/><Relationship Id="rId149" Type="http://schemas.openxmlformats.org/officeDocument/2006/relationships/hyperlink" Target="http://www.sec.gov/Archives/edgar/data/1004434/000100443420000029/amg06302020exhibit1010.htm" TargetMode="External"/><Relationship Id="rId150" Type="http://schemas.openxmlformats.org/officeDocument/2006/relationships/hyperlink" Target="http://www.sec.gov/Archives/edgar/data/1004434/000100443420000011/amgexhibit1018123119.htm" TargetMode="External"/><Relationship Id="rId151" Type="http://schemas.openxmlformats.org/officeDocument/2006/relationships/hyperlink" Target="http://www.sec.gov/Archives/edgar/data/1004434/000100443420000011/amgexhibit1019123119.htm" TargetMode="External"/><Relationship Id="rId152" Type="http://schemas.openxmlformats.org/officeDocument/2006/relationships/hyperlink" Target="http://www.sec.gov/Archives/edgar/data/1004434/000100443414000006/exhibit1015_xrsawardagreem.htm" TargetMode="External"/><Relationship Id="rId154" Type="http://schemas.openxmlformats.org/officeDocument/2006/relationships/hyperlink" Target="https://www.sec.gov/Archives/edgar/data/0001004434/000100443421000023/amg_exhibit101x33121.htm" TargetMode="External"/><Relationship Id="rId155" Type="http://schemas.openxmlformats.org/officeDocument/2006/relationships/hyperlink" Target="http://www.sec.gov/Archives/edgar/data/1004434/000100443420000029/amg06302020exhibit107.htm" TargetMode="External"/><Relationship Id="rId156" Type="http://schemas.openxmlformats.org/officeDocument/2006/relationships/hyperlink" Target="https://www.sec.gov/Archives/edgar/data/0001004434/000100443421000023/amg_exhibit102x33121.htm" TargetMode="External"/><Relationship Id="rId157" Type="http://schemas.openxmlformats.org/officeDocument/2006/relationships/hyperlink" Target="http://www.sec.gov/Archives/edgar/data/1004434/000100443420000029/amg06302020exhibit109.htm" TargetMode="External"/><Relationship Id="rId158" Type="http://schemas.openxmlformats.org/officeDocument/2006/relationships/hyperlink" Target="http://www.sec.gov/Archives/edgar/data/1004434/000104746911001624/a2202148zex-10_15.htm" TargetMode="External"/><Relationship Id="rId159" Type="http://schemas.openxmlformats.org/officeDocument/2006/relationships/hyperlink" Target="https://www.sec.gov/Archives/edgar/data/1004434/000100443422000017/amg_exhibit1032x12312021.htm" TargetMode="External"/><Relationship Id="rId160" Type="http://schemas.openxmlformats.org/officeDocument/2006/relationships/hyperlink" Target="https://www.sec.gov/Archives/edgar/data/0001004434/000119312521308088/d247160dex101.htm" TargetMode="External"/><Relationship Id="rId161" Type="http://schemas.openxmlformats.org/officeDocument/2006/relationships/hyperlink" Target="https://www.sec.gov/Archives/edgar/data/1004434/000119312522289485/d403304dex101.htm" TargetMode="External"/><Relationship Id="rId162" Type="http://schemas.openxmlformats.org/officeDocument/2006/relationships/hyperlink" Target="https://www.sec.gov/Archives/edgar/data/0001004434/000119312521308088/d247160dex102.htm" TargetMode="External"/><Relationship Id="rId163" Type="http://schemas.openxmlformats.org/officeDocument/2006/relationships/hyperlink" Target="https://www.sec.gov/Archives/edgar/data/1004434/000119312522289485/d403304dex102.htm" TargetMode="External"/><Relationship Id="rId164" Type="http://schemas.openxmlformats.org/officeDocument/2006/relationships/hyperlink" Target="https://www.sec.gov/Archives/edgar/data/1004434/000119312522162415/d302366dex11.htm" TargetMode="External"/><Relationship Id="rId165" Type="http://schemas.openxmlformats.org/officeDocument/2006/relationships/hyperlink" Target="https://www.sec.gov/Archives/edgar/data/1004434/000119312522162415/d302366dex101.htm" TargetMode="External"/><Relationship Id="rId166" Type="http://schemas.openxmlformats.org/officeDocument/2006/relationships/hyperlink" Target="https://www.sec.gov/Archives/edgar/data/0001004434/000100443421000023/amg_exhibit22x33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2023-02-17T17:03:50Z</dcterms:created>
  <dcterms:modified xsi:type="dcterms:W3CDTF">2023-02-17T17:03:50Z</dcterms:modified>
</cp:coreProperties>
</file>