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41"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16" w:lineRule="exact"/>
        <w:rPr>
          <w:sz w:val="24"/>
          <w:szCs w:val="24"/>
          <w:color w:val="auto"/>
        </w:rPr>
      </w:pPr>
    </w:p>
    <w:p>
      <w:pPr>
        <w:ind w:left="960" w:right="720" w:hanging="655"/>
        <w:spacing w:after="0" w:line="256" w:lineRule="auto"/>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2011</w:t>
      </w: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960" w:right="260" w:hanging="614"/>
        <w:spacing w:after="0" w:line="256"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4" w:lineRule="exact"/>
        <w:rPr>
          <w:sz w:val="24"/>
          <w:szCs w:val="24"/>
          <w:color w:val="auto"/>
        </w:rPr>
      </w:pPr>
    </w:p>
    <w:p>
      <w:pPr>
        <w:ind w:left="35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001-13459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Affiliated Managers Group,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30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Delaware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tcPr>
          <w:p>
            <w:pPr>
              <w:jc w:val="center"/>
              <w:ind w:left="452"/>
              <w:spacing w:after="0"/>
              <w:rPr>
                <w:sz w:val="20"/>
                <w:szCs w:val="20"/>
                <w:color w:val="auto"/>
              </w:rPr>
            </w:pPr>
            <w:r>
              <w:rPr>
                <w:rFonts w:ascii="Arial" w:cs="Arial" w:eastAsia="Arial" w:hAnsi="Arial"/>
                <w:sz w:val="14"/>
                <w:szCs w:val="14"/>
                <w:b w:val="1"/>
                <w:bCs w:val="1"/>
                <w:color w:val="auto"/>
                <w:w w:val="88"/>
              </w:rPr>
              <w:t>04-3218510</w:t>
            </w:r>
          </w:p>
        </w:tc>
      </w:tr>
      <w:tr>
        <w:trPr>
          <w:trHeight w:val="149"/>
        </w:trPr>
        <w:tc>
          <w:tcPr>
            <w:tcW w:w="1380" w:type="dxa"/>
            <w:vAlign w:val="bottom"/>
          </w:tcPr>
          <w:p>
            <w:pPr>
              <w:spacing w:after="0"/>
              <w:rPr>
                <w:sz w:val="12"/>
                <w:szCs w:val="12"/>
                <w:color w:val="auto"/>
              </w:rPr>
            </w:pPr>
          </w:p>
        </w:tc>
        <w:tc>
          <w:tcPr>
            <w:tcW w:w="230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9"/>
              </w:rPr>
              <w:t>(State or other jurisdiction of</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jc w:val="center"/>
              <w:ind w:left="452"/>
              <w:spacing w:after="0" w:line="149" w:lineRule="exact"/>
              <w:rPr>
                <w:sz w:val="20"/>
                <w:szCs w:val="20"/>
                <w:color w:val="auto"/>
              </w:rPr>
            </w:pPr>
            <w:r>
              <w:rPr>
                <w:rFonts w:ascii="Arial" w:cs="Arial" w:eastAsia="Arial" w:hAnsi="Arial"/>
                <w:sz w:val="14"/>
                <w:szCs w:val="14"/>
                <w:color w:val="auto"/>
                <w:w w:val="90"/>
              </w:rPr>
              <w:t>(IRS Employer</w:t>
            </w:r>
          </w:p>
        </w:tc>
      </w:tr>
      <w:tr>
        <w:trPr>
          <w:trHeight w:val="172"/>
        </w:trPr>
        <w:tc>
          <w:tcPr>
            <w:tcW w:w="1380" w:type="dxa"/>
            <w:vAlign w:val="bottom"/>
          </w:tcPr>
          <w:p>
            <w:pPr>
              <w:spacing w:after="0"/>
              <w:rPr>
                <w:sz w:val="14"/>
                <w:szCs w:val="14"/>
                <w:color w:val="auto"/>
              </w:rPr>
            </w:pPr>
          </w:p>
        </w:tc>
        <w:tc>
          <w:tcPr>
            <w:tcW w:w="2300" w:type="dxa"/>
            <w:vAlign w:val="bottom"/>
          </w:tcPr>
          <w:p>
            <w:pPr>
              <w:jc w:val="center"/>
              <w:ind w:right="172"/>
              <w:spacing w:after="0"/>
              <w:rPr>
                <w:sz w:val="20"/>
                <w:szCs w:val="20"/>
                <w:color w:val="auto"/>
              </w:rPr>
            </w:pPr>
            <w:r>
              <w:rPr>
                <w:rFonts w:ascii="Arial" w:cs="Arial" w:eastAsia="Arial" w:hAnsi="Arial"/>
                <w:sz w:val="14"/>
                <w:szCs w:val="14"/>
                <w:color w:val="auto"/>
                <w:w w:val="88"/>
              </w:rPr>
              <w:t>incorporation or organization)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tcPr>
          <w:p>
            <w:pPr>
              <w:jc w:val="center"/>
              <w:ind w:left="432"/>
              <w:spacing w:after="0"/>
              <w:rPr>
                <w:sz w:val="20"/>
                <w:szCs w:val="20"/>
                <w:color w:val="auto"/>
              </w:rPr>
            </w:pPr>
            <w:r>
              <w:rPr>
                <w:rFonts w:ascii="Arial" w:cs="Arial" w:eastAsia="Arial" w:hAnsi="Arial"/>
                <w:sz w:val="14"/>
                <w:szCs w:val="14"/>
                <w:color w:val="auto"/>
                <w:w w:val="90"/>
              </w:rPr>
              <w:t>Identification Number)</w:t>
            </w:r>
          </w:p>
        </w:tc>
      </w:tr>
      <w:tr>
        <w:trPr>
          <w:trHeight w:val="341"/>
        </w:trPr>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80" w:type="dxa"/>
            <w:vAlign w:val="bottom"/>
            <w:gridSpan w:val="5"/>
          </w:tcPr>
          <w:p>
            <w:pPr>
              <w:jc w:val="center"/>
              <w:ind w:right="2232"/>
              <w:spacing w:after="0"/>
              <w:rPr>
                <w:sz w:val="20"/>
                <w:szCs w:val="20"/>
                <w:color w:val="auto"/>
              </w:rPr>
            </w:pPr>
            <w:r>
              <w:rPr>
                <w:rFonts w:ascii="Arial" w:cs="Arial" w:eastAsia="Arial" w:hAnsi="Arial"/>
                <w:sz w:val="14"/>
                <w:szCs w:val="14"/>
                <w:b w:val="1"/>
                <w:bCs w:val="1"/>
                <w:color w:val="auto"/>
                <w:w w:val="85"/>
              </w:rPr>
              <w:t>600 Hale Street, Prides Crossing, Massachusetts 01965</w:t>
            </w:r>
          </w:p>
        </w:tc>
      </w:tr>
      <w:tr>
        <w:trPr>
          <w:trHeight w:val="172"/>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color w:val="auto"/>
                <w:w w:val="89"/>
              </w:rPr>
              <w:t>(Address of principal executive offices)</w:t>
            </w:r>
          </w:p>
        </w:tc>
        <w:tc>
          <w:tcPr>
            <w:tcW w:w="2540" w:type="dxa"/>
            <w:vAlign w:val="bottom"/>
          </w:tcPr>
          <w:p>
            <w:pPr>
              <w:spacing w:after="0"/>
              <w:rPr>
                <w:sz w:val="14"/>
                <w:szCs w:val="14"/>
                <w:color w:val="auto"/>
              </w:rPr>
            </w:pPr>
          </w:p>
        </w:tc>
      </w:tr>
      <w:tr>
        <w:trPr>
          <w:trHeight w:val="341"/>
        </w:trPr>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40" w:type="dxa"/>
            <w:vAlign w:val="bottom"/>
            <w:gridSpan w:val="3"/>
          </w:tcPr>
          <w:p>
            <w:pPr>
              <w:jc w:val="center"/>
              <w:ind w:left="992"/>
              <w:spacing w:after="0"/>
              <w:rPr>
                <w:sz w:val="20"/>
                <w:szCs w:val="20"/>
                <w:color w:val="auto"/>
              </w:rPr>
            </w:pPr>
            <w:r>
              <w:rPr>
                <w:rFonts w:ascii="Arial" w:cs="Arial" w:eastAsia="Arial" w:hAnsi="Arial"/>
                <w:sz w:val="14"/>
                <w:szCs w:val="14"/>
                <w:b w:val="1"/>
                <w:bCs w:val="1"/>
                <w:color w:val="auto"/>
                <w:w w:val="87"/>
              </w:rPr>
              <w:t>(617) 747-3300</w:t>
            </w: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2"/>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color w:val="auto"/>
                <w:w w:val="86"/>
              </w:rPr>
              <w:t>(Registrant's telephone number, including area code)</w:t>
            </w:r>
          </w:p>
        </w:tc>
        <w:tc>
          <w:tcPr>
            <w:tcW w:w="2540" w:type="dxa"/>
            <w:vAlign w:val="bottom"/>
          </w:tcPr>
          <w:p>
            <w:pPr>
              <w:spacing w:after="0"/>
              <w:rPr>
                <w:sz w:val="14"/>
                <w:szCs w:val="14"/>
                <w:color w:val="auto"/>
              </w:rPr>
            </w:pPr>
          </w:p>
        </w:tc>
      </w:tr>
      <w:tr>
        <w:trPr>
          <w:trHeight w:val="365"/>
        </w:trPr>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80" w:type="dxa"/>
            <w:vAlign w:val="bottom"/>
            <w:gridSpan w:val="5"/>
          </w:tcPr>
          <w:p>
            <w:pPr>
              <w:jc w:val="center"/>
              <w:ind w:right="2212"/>
              <w:spacing w:after="0"/>
              <w:rPr>
                <w:sz w:val="20"/>
                <w:szCs w:val="20"/>
                <w:color w:val="auto"/>
              </w:rPr>
            </w:pPr>
            <w:r>
              <w:rPr>
                <w:rFonts w:ascii="Arial" w:cs="Arial" w:eastAsia="Arial" w:hAnsi="Arial"/>
                <w:sz w:val="14"/>
                <w:szCs w:val="14"/>
                <w:color w:val="auto"/>
                <w:w w:val="87"/>
              </w:rPr>
              <w:t>Securities registered pursuant to Section 12(b) of the Act:</w:t>
            </w:r>
          </w:p>
        </w:tc>
      </w:tr>
      <w:tr>
        <w:trPr>
          <w:trHeight w:val="352"/>
        </w:trPr>
        <w:tc>
          <w:tcPr>
            <w:tcW w:w="1380" w:type="dxa"/>
            <w:vAlign w:val="bottom"/>
          </w:tcPr>
          <w:p>
            <w:pPr>
              <w:spacing w:after="0"/>
              <w:rPr>
                <w:sz w:val="24"/>
                <w:szCs w:val="24"/>
                <w:color w:val="auto"/>
              </w:rPr>
            </w:pPr>
          </w:p>
        </w:tc>
        <w:tc>
          <w:tcPr>
            <w:tcW w:w="2300" w:type="dxa"/>
            <w:vAlign w:val="bottom"/>
            <w:tcBorders>
              <w:bottom w:val="single" w:sz="8" w:color="auto"/>
            </w:tcBorders>
          </w:tcPr>
          <w:p>
            <w:pPr>
              <w:jc w:val="center"/>
              <w:ind w:left="992"/>
              <w:spacing w:after="0"/>
              <w:rPr>
                <w:sz w:val="20"/>
                <w:szCs w:val="20"/>
                <w:color w:val="auto"/>
              </w:rPr>
            </w:pPr>
            <w:r>
              <w:rPr>
                <w:rFonts w:ascii="Arial" w:cs="Arial" w:eastAsia="Arial" w:hAnsi="Arial"/>
                <w:sz w:val="14"/>
                <w:szCs w:val="14"/>
                <w:b w:val="1"/>
                <w:bCs w:val="1"/>
                <w:color w:val="auto"/>
                <w:w w:val="82"/>
              </w:rPr>
              <w:t>Title of each class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3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68"/>
        </w:trPr>
        <w:tc>
          <w:tcPr>
            <w:tcW w:w="1380" w:type="dxa"/>
            <w:vAlign w:val="bottom"/>
          </w:tcPr>
          <w:p>
            <w:pPr>
              <w:spacing w:after="0"/>
              <w:rPr>
                <w:sz w:val="14"/>
                <w:szCs w:val="14"/>
                <w:color w:val="auto"/>
              </w:rPr>
            </w:pPr>
          </w:p>
        </w:tc>
        <w:tc>
          <w:tcPr>
            <w:tcW w:w="3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Common Stock ($.01 par value)</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tcPr>
          <w:p>
            <w:pPr>
              <w:ind w:left="100"/>
              <w:spacing w:after="0"/>
              <w:rPr>
                <w:sz w:val="20"/>
                <w:szCs w:val="20"/>
                <w:color w:val="auto"/>
              </w:rPr>
            </w:pPr>
            <w:r>
              <w:rPr>
                <w:rFonts w:ascii="Arial" w:cs="Arial" w:eastAsia="Arial" w:hAnsi="Arial"/>
                <w:sz w:val="14"/>
                <w:szCs w:val="14"/>
                <w:b w:val="1"/>
                <w:bCs w:val="1"/>
                <w:color w:val="auto"/>
              </w:rPr>
              <w:t>New York Stock Exchange</w:t>
            </w:r>
          </w:p>
        </w:tc>
      </w:tr>
      <w:tr>
        <w:trPr>
          <w:trHeight w:val="326"/>
        </w:trPr>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80" w:type="dxa"/>
            <w:vAlign w:val="bottom"/>
            <w:gridSpan w:val="5"/>
          </w:tcPr>
          <w:p>
            <w:pPr>
              <w:jc w:val="center"/>
              <w:ind w:right="2212"/>
              <w:spacing w:after="0"/>
              <w:rPr>
                <w:sz w:val="20"/>
                <w:szCs w:val="20"/>
                <w:color w:val="auto"/>
              </w:rPr>
            </w:pPr>
            <w:r>
              <w:rPr>
                <w:rFonts w:ascii="Arial" w:cs="Arial" w:eastAsia="Arial" w:hAnsi="Arial"/>
                <w:sz w:val="14"/>
                <w:szCs w:val="14"/>
                <w:color w:val="auto"/>
                <w:w w:val="87"/>
              </w:rPr>
              <w:t>Securities registered pursuant to Section 12(g) of the Act:</w:t>
            </w:r>
          </w:p>
        </w:tc>
      </w:tr>
      <w:tr>
        <w:trPr>
          <w:trHeight w:val="174"/>
        </w:trPr>
        <w:tc>
          <w:tcPr>
            <w:tcW w:w="1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80" w:type="dxa"/>
            <w:vAlign w:val="bottom"/>
            <w:gridSpan w:val="2"/>
          </w:tcPr>
          <w:p>
            <w:pPr>
              <w:jc w:val="center"/>
              <w:ind w:right="752"/>
              <w:spacing w:after="0"/>
              <w:rPr>
                <w:sz w:val="20"/>
                <w:szCs w:val="20"/>
                <w:color w:val="auto"/>
              </w:rPr>
            </w:pPr>
            <w:r>
              <w:rPr>
                <w:rFonts w:ascii="Arial" w:cs="Arial" w:eastAsia="Arial" w:hAnsi="Arial"/>
                <w:sz w:val="14"/>
                <w:szCs w:val="14"/>
                <w:b w:val="1"/>
                <w:bCs w:val="1"/>
                <w:color w:val="auto"/>
                <w:w w:val="85"/>
              </w:rPr>
              <w:t>None</w:t>
            </w:r>
          </w:p>
        </w:tc>
        <w:tc>
          <w:tcPr>
            <w:tcW w:w="2540" w:type="dxa"/>
            <w:vAlign w:val="bottom"/>
          </w:tcPr>
          <w:p>
            <w:pPr>
              <w:spacing w:after="0"/>
              <w:rPr>
                <w:sz w:val="15"/>
                <w:szCs w:val="15"/>
                <w:color w:val="auto"/>
              </w:rPr>
            </w:pPr>
          </w:p>
        </w:tc>
      </w:tr>
      <w:tr>
        <w:trPr>
          <w:trHeight w:val="203"/>
        </w:trPr>
        <w:tc>
          <w:tcPr>
            <w:tcW w:w="138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540" w:type="dxa"/>
            <w:vAlign w:val="bottom"/>
          </w:tcPr>
          <w:p>
            <w:pPr>
              <w:spacing w:after="0"/>
              <w:rPr>
                <w:sz w:val="17"/>
                <w:szCs w:val="17"/>
                <w:color w:val="auto"/>
              </w:rPr>
            </w:pPr>
          </w:p>
        </w:tc>
      </w:tr>
      <w:tr>
        <w:trPr>
          <w:trHeight w:val="642"/>
        </w:trPr>
        <w:tc>
          <w:tcPr>
            <w:tcW w:w="6820" w:type="dxa"/>
            <w:vAlign w:val="bottom"/>
            <w:gridSpan w:val="6"/>
          </w:tcPr>
          <w:p>
            <w:pPr>
              <w:spacing w:after="0" w:line="161" w:lineRule="exact"/>
              <w:rPr>
                <w:sz w:val="20"/>
                <w:szCs w:val="20"/>
                <w:color w:val="auto"/>
              </w:rPr>
            </w:pPr>
            <w:r>
              <w:rPr>
                <w:rFonts w:ascii="Arial" w:cs="Arial" w:eastAsia="Arial" w:hAnsi="Arial"/>
                <w:sz w:val="14"/>
                <w:szCs w:val="14"/>
                <w:color w:val="auto"/>
                <w:w w:val="88"/>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88"/>
              </w:rPr>
              <w:t>☒</w:t>
            </w:r>
          </w:p>
        </w:tc>
        <w:tc>
          <w:tcPr>
            <w:tcW w:w="2540" w:type="dxa"/>
            <w:vAlign w:val="bottom"/>
          </w:tcPr>
          <w:p>
            <w:pPr>
              <w:ind w:left="40"/>
              <w:spacing w:after="0"/>
              <w:rPr>
                <w:sz w:val="20"/>
                <w:szCs w:val="20"/>
                <w:color w:val="auto"/>
              </w:rPr>
            </w:pPr>
            <w:r>
              <w:rPr>
                <w:rFonts w:ascii="Arial" w:cs="Arial" w:eastAsia="Arial" w:hAnsi="Arial"/>
                <w:sz w:val="14"/>
                <w:szCs w:val="14"/>
                <w:color w:val="auto"/>
              </w:rPr>
              <w:t>No o</w:t>
            </w:r>
          </w:p>
        </w:tc>
      </w:tr>
      <w:tr>
        <w:trPr>
          <w:trHeight w:val="365"/>
        </w:trPr>
        <w:tc>
          <w:tcPr>
            <w:tcW w:w="6820" w:type="dxa"/>
            <w:vAlign w:val="bottom"/>
            <w:gridSpan w:val="6"/>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 Yes o</w:t>
            </w:r>
          </w:p>
        </w:tc>
        <w:tc>
          <w:tcPr>
            <w:tcW w:w="254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78" w:lineRule="exact"/>
        <w:rPr>
          <w:sz w:val="24"/>
          <w:szCs w:val="24"/>
          <w:color w:val="auto"/>
        </w:rPr>
      </w:pPr>
    </w:p>
    <w:p>
      <w:pPr>
        <w:ind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20" w:firstLine="338"/>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79" w:lineRule="exact"/>
        <w:rPr>
          <w:sz w:val="24"/>
          <w:szCs w:val="24"/>
          <w:color w:val="auto"/>
        </w:rPr>
      </w:pPr>
    </w:p>
    <w:p>
      <w:pPr>
        <w:ind w:right="380" w:firstLine="338"/>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right="50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7" w:lineRule="exact"/>
        <w:rPr>
          <w:sz w:val="24"/>
          <w:szCs w:val="24"/>
          <w:color w:val="auto"/>
        </w:rPr>
      </w:pPr>
    </w:p>
    <w:p>
      <w:pPr>
        <w:ind w:left="420"/>
        <w:spacing w:after="0" w:line="162" w:lineRule="exact"/>
        <w:tabs>
          <w:tab w:leader="none" w:pos="3400" w:val="left"/>
          <w:tab w:leader="none" w:pos="6160" w:val="left"/>
          <w:tab w:leader="none" w:pos="93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12" w:lineRule="exact"/>
        <w:rPr>
          <w:sz w:val="24"/>
          <w:szCs w:val="24"/>
          <w:color w:val="auto"/>
        </w:rPr>
      </w:pPr>
    </w:p>
    <w:p>
      <w:pPr>
        <w:jc w:val="center"/>
        <w:ind w:left="2200"/>
        <w:spacing w:after="0"/>
        <w:rPr>
          <w:sz w:val="20"/>
          <w:szCs w:val="20"/>
          <w:color w:val="auto"/>
        </w:rPr>
      </w:pPr>
      <w:r>
        <w:rPr>
          <w:rFonts w:ascii="Arial" w:cs="Arial" w:eastAsia="Arial" w:hAnsi="Arial"/>
          <w:sz w:val="14"/>
          <w:szCs w:val="14"/>
          <w:color w:val="auto"/>
        </w:rPr>
        <w:t>(Do not check if a smaller</w:t>
      </w:r>
    </w:p>
    <w:p>
      <w:pPr>
        <w:jc w:val="center"/>
        <w:ind w:left="2200"/>
        <w:spacing w:after="0"/>
        <w:rPr>
          <w:sz w:val="20"/>
          <w:szCs w:val="20"/>
          <w:color w:val="auto"/>
        </w:rPr>
      </w:pPr>
      <w:r>
        <w:rPr>
          <w:rFonts w:ascii="Arial" w:cs="Arial" w:eastAsia="Arial" w:hAnsi="Arial"/>
          <w:sz w:val="14"/>
          <w:szCs w:val="14"/>
          <w:color w:val="auto"/>
        </w:rPr>
        <w:t>reporting company)</w:t>
      </w:r>
    </w:p>
    <w:p>
      <w:pPr>
        <w:spacing w:after="0" w:line="167" w:lineRule="exact"/>
        <w:rPr>
          <w:sz w:val="24"/>
          <w:szCs w:val="24"/>
          <w:color w:val="auto"/>
        </w:rPr>
      </w:pPr>
    </w:p>
    <w:p>
      <w:pPr>
        <w:ind w:left="340"/>
        <w:spacing w:after="0" w:line="138" w:lineRule="exact"/>
        <w:tabs>
          <w:tab w:leader="none" w:pos="64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2"/>
          <w:szCs w:val="12"/>
          <w:color w:val="auto"/>
        </w:rPr>
        <w:t>At June 30, 2011, the aggregate market value of the common stock held by non-affiliates of the registrant, based upon the closing price of $101.45 on that date on the New York Stock Exchange, was</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$5,227,844,602. Calculation of holdings by non-affiliates is based upon the assumption, for this purpose only, that executive officers, directors and any persons holding 10% or more of the registrant's common</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stock are affiliates. There were 51,763,612 shares of the registrant's common stock outstanding on February 16, 2012.</w:t>
      </w:r>
    </w:p>
    <w:p>
      <w:pPr>
        <w:sectPr>
          <w:pgSz w:w="11900" w:h="16838" w:orient="portrait"/>
          <w:cols w:equalWidth="0" w:num="1">
            <w:col w:w="11380"/>
          </w:cols>
          <w:pgMar w:left="240" w:top="698" w:right="279" w:bottom="0" w:gutter="0" w:footer="0" w:header="0"/>
        </w:sect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380"/>
          </w:cols>
          <w:pgMar w:left="240" w:top="698" w:right="279" w:bottom="0" w:gutter="0" w:footer="0" w:header="0"/>
          <w:type w:val="continuous"/>
        </w:sectPr>
      </w:pPr>
    </w:p>
    <w:bookmarkStart w:id="1" w:name="page2"/>
    <w:bookmarkEnd w:id="1"/>
    <w:p>
      <w:pPr>
        <w:ind w:firstLine="338"/>
        <w:spacing w:after="0" w:line="239" w:lineRule="auto"/>
        <w:rPr>
          <w:sz w:val="20"/>
          <w:szCs w:val="20"/>
          <w:color w:val="auto"/>
        </w:rPr>
      </w:pPr>
      <w:r>
        <w:rPr>
          <w:rFonts w:ascii="Arial" w:cs="Arial" w:eastAsia="Arial" w:hAnsi="Arial"/>
          <w:sz w:val="14"/>
          <w:szCs w:val="14"/>
          <w:color w:val="auto"/>
        </w:rPr>
        <w:t>Portions of the definitive Proxy Statement to be delivered to shareholders in connection with the Annual Meeting of Shareholders to be held on or about June 4, 2012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2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00" w:type="dxa"/>
            <w:vAlign w:val="bottom"/>
            <w:gridSpan w:val="10"/>
          </w:tcPr>
          <w:p>
            <w:pPr>
              <w:jc w:val="center"/>
              <w:ind w:right="3920"/>
              <w:spacing w:after="0"/>
              <w:rPr>
                <w:sz w:val="20"/>
                <w:szCs w:val="20"/>
                <w:color w:val="auto"/>
              </w:rPr>
            </w:pPr>
            <w:r>
              <w:rPr>
                <w:rFonts w:ascii="Arial" w:cs="Arial" w:eastAsia="Arial" w:hAnsi="Arial"/>
                <w:sz w:val="18"/>
                <w:szCs w:val="18"/>
                <w:b w:val="1"/>
                <w:bCs w:val="1"/>
                <w:color w:val="auto"/>
                <w:w w:val="96"/>
              </w:rPr>
              <w:t>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2220" w:type="dxa"/>
            <w:vAlign w:val="bottom"/>
            <w:gridSpan w:val="7"/>
          </w:tcPr>
          <w:p>
            <w:pPr>
              <w:ind w:left="1140"/>
              <w:spacing w:after="0"/>
              <w:rPr>
                <w:sz w:val="20"/>
                <w:szCs w:val="20"/>
                <w:color w:val="auto"/>
              </w:rPr>
            </w:pPr>
            <w:r>
              <w:rPr>
                <w:rFonts w:ascii="Arial" w:cs="Arial" w:eastAsia="Arial" w:hAnsi="Arial"/>
                <w:sz w:val="18"/>
                <w:szCs w:val="18"/>
                <w:b w:val="1"/>
                <w:bCs w:val="1"/>
                <w:color w:val="auto"/>
              </w:rPr>
              <w:t>PART I</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line="184" w:lineRule="exact"/>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40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7700" w:type="dxa"/>
            <w:vAlign w:val="bottom"/>
            <w:gridSpan w:val="20"/>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0" w:type="dxa"/>
            <w:vAlign w:val="bottom"/>
            <w:gridSpan w:val="2"/>
          </w:tcPr>
          <w:p>
            <w:pPr>
              <w:jc w:val="right"/>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Item 1A.</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6800" w:type="dxa"/>
            <w:vAlign w:val="bottom"/>
            <w:gridSpan w:val="1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1B.</w:t>
              </w:r>
            </w:hyperlink>
          </w:p>
        </w:tc>
        <w:tc>
          <w:tcPr>
            <w:tcW w:w="7880" w:type="dxa"/>
            <w:vAlign w:val="bottom"/>
            <w:gridSpan w:val="21"/>
          </w:tcPr>
          <w:p>
            <w:pPr>
              <w:ind w:left="18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w:anchor="page18">
              <w:r>
                <w:rPr>
                  <w:rFonts w:ascii="Arial" w:cs="Arial" w:eastAsia="Arial" w:hAnsi="Arial"/>
                  <w:sz w:val="18"/>
                  <w:szCs w:val="18"/>
                  <w:color w:val="0000EE"/>
                  <w:w w:val="83"/>
                </w:rPr>
                <w:t>Item 2.</w:t>
              </w:r>
            </w:hyperlink>
          </w:p>
        </w:tc>
        <w:tc>
          <w:tcPr>
            <w:tcW w:w="120" w:type="dxa"/>
            <w:vAlign w:val="bottom"/>
            <w:tcBorders>
              <w:top w:val="single" w:sz="8" w:color="0000EE"/>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5700" w:type="dxa"/>
            <w:vAlign w:val="bottom"/>
            <w:gridSpan w:val="11"/>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18">
              <w:r>
                <w:rPr>
                  <w:rFonts w:ascii="Arial" w:cs="Arial" w:eastAsia="Arial" w:hAnsi="Arial"/>
                  <w:sz w:val="18"/>
                  <w:szCs w:val="18"/>
                  <w:color w:val="0000EE"/>
                  <w:w w:val="83"/>
                </w:rPr>
                <w:t>Item 3.</w:t>
              </w:r>
            </w:hyperlink>
          </w:p>
        </w:tc>
        <w:tc>
          <w:tcPr>
            <w:tcW w:w="4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70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18">
              <w:r>
                <w:rPr>
                  <w:rFonts w:ascii="Arial" w:cs="Arial" w:eastAsia="Arial" w:hAnsi="Arial"/>
                  <w:sz w:val="18"/>
                  <w:szCs w:val="18"/>
                  <w:color w:val="0000EE"/>
                  <w:w w:val="83"/>
                </w:rPr>
                <w:t>Item 4.</w:t>
              </w:r>
            </w:hyperlink>
          </w:p>
        </w:tc>
        <w:tc>
          <w:tcPr>
            <w:tcW w:w="4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70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0"/>
        </w:trPr>
        <w:tc>
          <w:tcPr>
            <w:tcW w:w="13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44"/>
        </w:trPr>
        <w:tc>
          <w:tcPr>
            <w:tcW w:w="2220" w:type="dxa"/>
            <w:vAlign w:val="bottom"/>
            <w:gridSpan w:val="7"/>
          </w:tcPr>
          <w:p>
            <w:pPr>
              <w:ind w:left="1140"/>
              <w:spacing w:after="0"/>
              <w:rPr>
                <w:sz w:val="20"/>
                <w:szCs w:val="20"/>
                <w:color w:val="auto"/>
              </w:rPr>
            </w:pPr>
            <w:r>
              <w:rPr>
                <w:rFonts w:ascii="Arial" w:cs="Arial" w:eastAsia="Arial" w:hAnsi="Arial"/>
                <w:sz w:val="18"/>
                <w:szCs w:val="18"/>
                <w:b w:val="1"/>
                <w:bCs w:val="1"/>
                <w:color w:val="auto"/>
              </w:rPr>
              <w:t>PART II</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5"/>
          </w:tcPr>
          <w:p>
            <w:pPr>
              <w:spacing w:after="0" w:line="184" w:lineRule="exact"/>
              <w:rPr>
                <w:rFonts w:ascii="Arial" w:cs="Arial" w:eastAsia="Arial" w:hAnsi="Arial"/>
                <w:sz w:val="18"/>
                <w:szCs w:val="18"/>
                <w:color w:val="0000EE"/>
              </w:rPr>
            </w:pPr>
            <w:hyperlink w:anchor="page19">
              <w:r>
                <w:rPr>
                  <w:rFonts w:ascii="Arial" w:cs="Arial" w:eastAsia="Arial" w:hAnsi="Arial"/>
                  <w:sz w:val="18"/>
                  <w:szCs w:val="18"/>
                  <w:color w:val="0000EE"/>
                </w:rPr>
                <w:t>Item 5.</w:t>
              </w:r>
            </w:hyperlink>
          </w:p>
        </w:tc>
        <w:tc>
          <w:tcPr>
            <w:tcW w:w="7880" w:type="dxa"/>
            <w:vAlign w:val="bottom"/>
            <w:gridSpan w:val="21"/>
          </w:tcPr>
          <w:p>
            <w:pPr>
              <w:ind w:left="180"/>
              <w:spacing w:after="0" w:line="184"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Market for Registrant's Common Equity, Related Stockholder Matters and Issuer Purchases of Equity</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Securities</w:t>
              </w:r>
            </w:hyperlink>
          </w:p>
        </w:tc>
        <w:tc>
          <w:tcPr>
            <w:tcW w:w="6260" w:type="dxa"/>
            <w:vAlign w:val="bottom"/>
            <w:tcBorders>
              <w:top w:val="single" w:sz="8" w:color="0000EE"/>
            </w:tcBorders>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22">
              <w:r>
                <w:rPr>
                  <w:rFonts w:ascii="Arial" w:cs="Arial" w:eastAsia="Arial" w:hAnsi="Arial"/>
                  <w:sz w:val="18"/>
                  <w:szCs w:val="18"/>
                  <w:color w:val="0000EE"/>
                  <w:w w:val="83"/>
                </w:rPr>
                <w:t>Item 6.</w:t>
              </w:r>
            </w:hyperlink>
          </w:p>
        </w:tc>
        <w:tc>
          <w:tcPr>
            <w:tcW w:w="4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Financial Data</w:t>
              </w:r>
            </w:hyperlink>
          </w:p>
        </w:tc>
        <w:tc>
          <w:tcPr>
            <w:tcW w:w="596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7.</w:t>
              </w:r>
            </w:hyperlink>
          </w:p>
        </w:tc>
        <w:tc>
          <w:tcPr>
            <w:tcW w:w="4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70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Item 7A.</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Disclosures About Market Risk</w:t>
              </w:r>
            </w:hyperlink>
          </w:p>
        </w:tc>
        <w:tc>
          <w:tcPr>
            <w:tcW w:w="34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42</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45">
              <w:r>
                <w:rPr>
                  <w:rFonts w:ascii="Arial" w:cs="Arial" w:eastAsia="Arial" w:hAnsi="Arial"/>
                  <w:sz w:val="18"/>
                  <w:szCs w:val="18"/>
                  <w:color w:val="0000EE"/>
                  <w:w w:val="83"/>
                </w:rPr>
                <w:t>Item 8.</w:t>
              </w:r>
            </w:hyperlink>
          </w:p>
        </w:tc>
        <w:tc>
          <w:tcPr>
            <w:tcW w:w="4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Financial Statements and Supplementary Data</w:t>
              </w:r>
            </w:hyperlink>
          </w:p>
        </w:tc>
        <w:tc>
          <w:tcPr>
            <w:tcW w:w="4440" w:type="dxa"/>
            <w:vAlign w:val="bottom"/>
            <w:gridSpan w:val="8"/>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42</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87">
              <w:r>
                <w:rPr>
                  <w:rFonts w:ascii="Arial" w:cs="Arial" w:eastAsia="Arial" w:hAnsi="Arial"/>
                  <w:sz w:val="18"/>
                  <w:szCs w:val="18"/>
                  <w:color w:val="0000EE"/>
                  <w:w w:val="83"/>
                </w:rPr>
                <w:t>Item 9.</w:t>
              </w:r>
            </w:hyperlink>
          </w:p>
        </w:tc>
        <w:tc>
          <w:tcPr>
            <w:tcW w:w="4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Changes in and Disagreements With Accountants on Accounting and Financial Disclosure</w:t>
              </w:r>
            </w:hyperlink>
          </w:p>
        </w:tc>
        <w:tc>
          <w:tcPr>
            <w:tcW w:w="13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Item 9A.</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Controls and Procedures</w:t>
              </w:r>
            </w:hyperlink>
          </w:p>
        </w:tc>
        <w:tc>
          <w:tcPr>
            <w:tcW w:w="596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9B.</w:t>
              </w:r>
            </w:hyperlink>
          </w:p>
        </w:tc>
        <w:tc>
          <w:tcPr>
            <w:tcW w:w="7880" w:type="dxa"/>
            <w:vAlign w:val="bottom"/>
            <w:gridSpan w:val="21"/>
          </w:tcPr>
          <w:p>
            <w:pPr>
              <w:ind w:left="18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84</w:t>
              </w:r>
            </w:hyperlink>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44"/>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Arial" w:cs="Arial" w:eastAsia="Arial" w:hAnsi="Arial"/>
                <w:sz w:val="18"/>
                <w:szCs w:val="18"/>
                <w:b w:val="1"/>
                <w:bCs w:val="1"/>
                <w:color w:val="auto"/>
              </w:rPr>
              <w:t>PART III</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0000EE"/>
            </w:tcBorders>
            <w:gridSpan w:val="3"/>
          </w:tcPr>
          <w:p>
            <w:pPr>
              <w:spacing w:after="0" w:line="184"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Item 10.</w:t>
              </w:r>
            </w:hyperlink>
          </w:p>
        </w:tc>
        <w:tc>
          <w:tcPr>
            <w:tcW w:w="2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Directors, Executive Officers and Corporate Governance</w:t>
              </w:r>
            </w:hyperlink>
          </w:p>
        </w:tc>
        <w:tc>
          <w:tcPr>
            <w:tcW w:w="3700" w:type="dxa"/>
            <w:vAlign w:val="bottom"/>
            <w:gridSpan w:val="7"/>
          </w:tcPr>
          <w:p>
            <w:pPr>
              <w:spacing w:after="0"/>
              <w:rPr>
                <w:sz w:val="15"/>
                <w:szCs w:val="15"/>
                <w:color w:val="auto"/>
              </w:rPr>
            </w:pPr>
          </w:p>
        </w:tc>
        <w:tc>
          <w:tcPr>
            <w:tcW w:w="18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Item 11.</w:t>
              </w:r>
            </w:hyperlink>
          </w:p>
        </w:tc>
        <w:tc>
          <w:tcPr>
            <w:tcW w:w="7880" w:type="dxa"/>
            <w:vAlign w:val="bottom"/>
            <w:gridSpan w:val="21"/>
          </w:tcPr>
          <w:p>
            <w:pPr>
              <w:ind w:left="180"/>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Item 12.</w:t>
              </w:r>
            </w:hyperlink>
          </w:p>
        </w:tc>
        <w:tc>
          <w:tcPr>
            <w:tcW w:w="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Security Ownership of Certain Beneficial Owners and Management and Related Stockholder Matters</w:t>
              </w:r>
            </w:hyperlink>
          </w:p>
        </w:tc>
        <w:tc>
          <w:tcPr>
            <w:tcW w:w="5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Item 13.</w:t>
              </w:r>
            </w:hyperlink>
          </w:p>
        </w:tc>
        <w:tc>
          <w:tcPr>
            <w:tcW w:w="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Certain Relationships and Related Transactions and Director Independence</w:t>
              </w:r>
            </w:hyperlink>
          </w:p>
        </w:tc>
        <w:tc>
          <w:tcPr>
            <w:tcW w:w="242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Item 14.</w:t>
              </w:r>
            </w:hyperlink>
          </w:p>
        </w:tc>
        <w:tc>
          <w:tcPr>
            <w:tcW w:w="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Principal Accountant Fees and Services</w:t>
              </w:r>
            </w:hyperlink>
          </w:p>
        </w:tc>
        <w:tc>
          <w:tcPr>
            <w:tcW w:w="4900" w:type="dxa"/>
            <w:vAlign w:val="bottom"/>
            <w:gridSpan w:val="10"/>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r>
      <w:tr>
        <w:trPr>
          <w:trHeight w:val="444"/>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Arial" w:cs="Arial" w:eastAsia="Arial" w:hAnsi="Arial"/>
                <w:sz w:val="18"/>
                <w:szCs w:val="18"/>
                <w:b w:val="1"/>
                <w:bCs w:val="1"/>
                <w:color w:val="auto"/>
              </w:rPr>
              <w:t>PART IV</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0000EE"/>
            </w:tcBorders>
            <w:gridSpan w:val="3"/>
          </w:tcPr>
          <w:p>
            <w:pPr>
              <w:spacing w:after="0" w:line="184"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Item 15.</w:t>
              </w:r>
            </w:hyperlink>
          </w:p>
        </w:tc>
        <w:tc>
          <w:tcPr>
            <w:tcW w:w="2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Borders>
              <w:bottom w:val="single" w:sz="8" w:color="0000EE"/>
            </w:tcBorders>
            <w:gridSpan w:val="11"/>
          </w:tcPr>
          <w:p>
            <w:pPr>
              <w:spacing w:after="0" w:line="184"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Exhibits, Financial Statement Schedules</w:t>
              </w:r>
            </w:hyperlink>
          </w:p>
        </w:tc>
        <w:tc>
          <w:tcPr>
            <w:tcW w:w="4860" w:type="dxa"/>
            <w:vAlign w:val="bottom"/>
            <w:gridSpan w:val="9"/>
          </w:tcPr>
          <w:p>
            <w:pPr>
              <w:spacing w:after="0"/>
              <w:rPr>
                <w:sz w:val="15"/>
                <w:szCs w:val="15"/>
                <w:color w:val="auto"/>
              </w:rPr>
            </w:pPr>
          </w:p>
        </w:tc>
        <w:tc>
          <w:tcPr>
            <w:tcW w:w="18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86</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are a global asset management company with equity investments in a diverse group of boutique investment management firms (our "Affiliates"). We pursue a growth strategy designed to generate shareholder value through the internal growth of our existing business, additional investments in investment management firms and strategic transactions and relationships structured to enhance our Affiliates' businesses and growth prospects.</w:t>
      </w:r>
    </w:p>
    <w:p>
      <w:pPr>
        <w:spacing w:after="0" w:line="161" w:lineRule="exact"/>
        <w:rPr>
          <w:sz w:val="20"/>
          <w:szCs w:val="20"/>
          <w:color w:val="auto"/>
        </w:rPr>
      </w:pPr>
    </w:p>
    <w:p>
      <w:pPr>
        <w:ind w:right="340" w:firstLine="351"/>
        <w:spacing w:after="0" w:line="294" w:lineRule="auto"/>
        <w:rPr>
          <w:sz w:val="20"/>
          <w:szCs w:val="20"/>
          <w:color w:val="auto"/>
        </w:rPr>
      </w:pPr>
      <w:r>
        <w:rPr>
          <w:rFonts w:ascii="Arial" w:cs="Arial" w:eastAsia="Arial" w:hAnsi="Arial"/>
          <w:sz w:val="16"/>
          <w:szCs w:val="16"/>
          <w:color w:val="auto"/>
        </w:rPr>
        <w:t>In our investments in each of our Affiliates, we hold a substantial equity interest. The remaining equity interests are retained by the management of the Affiliate and enable Affiliate managers to continue to participate in their firm's success. Our investment approach provides a degree of liquidity and diversification to principal owners of boutique investment management firms, and also addresses the succession and ownership transition issues facing many founders and principal owners. Our partnership approach also ensures that Affiliates maintain operational autonomy in managing their business, thereby preserving their firm's entrepreneurial culture and independence. In particular, our structures are designed to:</w:t>
      </w:r>
    </w:p>
    <w:p>
      <w:pPr>
        <w:spacing w:after="0" w:line="18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and enhance Affiliate managers' equity incentives in their firms;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preserve each Affiliate's distinct culture and investment focus;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Affiliates with the ability to realize the benefits of scale economies in distribution, operations, compliance and technology.</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invest in firms that we anticipate will grow independently and without our assistance, we are committed to helping Affiliates identify opportunities for growth and leverage the benefits of economies of scale. We assist our Affiliates in broadening global distribution, developing new products and providing strategic support and enhanced operational capabilities.</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believe that substantial opportunities to make investments in high-quality boutique investment management firms will continue to arise as their founders seek to institutionalize their businesses through broader equity ownership, or approach retirement age and begin to plan for succession. Our management identifies select firms based on our thorough understanding of the asset management industry, and has developed relationships with a significant number of these firms. Within our target universe, we seek the strongest and most stable firms with the best growth prospects, which are typically characterized by a strong multi-generational management team and culture, with a commitment to building a firm for its longer-term success, focused investment discipline and long-term investment track record, and diverse products and distribution channels. We are focused on investing in the highest quality boutique investment management firms specializing in an array of investment styles and asset classes, including both traditional and alternative investment managers. We anticipate that we will have significant additional investment opportunities across the global asset management industry, including the potential for investments in subsidiaries, divisions and other investment teams or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23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As of December 31, 2011, we manage $327.5 billion in assets through our Affiliates in more than 350 investment products across a broad range of asset classes and investment styles in three principal distribution channels: Mutual Fund, Institutional and High Net Worth. We believe that our diversification across asset classes, investment styles and distribution channels helps to mitigate our exposure to the risks created by changing market environments.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selected financial data attributable to our operations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as noted)</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Assets under Management (in billions)</w:t>
            </w:r>
            <w:r>
              <w:rPr>
                <w:rFonts w:ascii="Arial" w:cs="Arial" w:eastAsia="Arial" w:hAnsi="Arial"/>
                <w:sz w:val="28"/>
                <w:szCs w:val="28"/>
                <w:b w:val="1"/>
                <w:bCs w:val="1"/>
                <w:color w:val="auto"/>
                <w:vertAlign w:val="superscript"/>
              </w:rPr>
              <w:t>(1)</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gridSpan w:val="3"/>
            <w:vMerge w:val="restart"/>
          </w:tcPr>
          <w:p>
            <w:pPr>
              <w:spacing w:after="0" w:line="324" w:lineRule="exact"/>
              <w:rPr>
                <w:sz w:val="20"/>
                <w:szCs w:val="20"/>
                <w:color w:val="auto"/>
              </w:rPr>
            </w:pPr>
            <w:r>
              <w:rPr>
                <w:rFonts w:ascii="Arial" w:cs="Arial" w:eastAsia="Arial" w:hAnsi="Arial"/>
                <w:sz w:val="18"/>
                <w:szCs w:val="18"/>
                <w:b w:val="1"/>
                <w:bCs w:val="1"/>
                <w:color w:val="auto"/>
              </w:rPr>
              <w:t>Revenue</w:t>
            </w:r>
            <w:r>
              <w:rPr>
                <w:rFonts w:ascii="Arial" w:cs="Arial" w:eastAsia="Arial" w:hAnsi="Arial"/>
                <w:sz w:val="29"/>
                <w:szCs w:val="29"/>
                <w:b w:val="1"/>
                <w:bCs w:val="1"/>
                <w:color w:val="auto"/>
                <w:vertAlign w:val="superscript"/>
              </w:rPr>
              <w:t>(2)</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1,358.2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1,704.8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Net income (controlling interest)</w:t>
            </w:r>
            <w:r>
              <w:rPr>
                <w:rFonts w:ascii="Arial" w:cs="Arial" w:eastAsia="Arial" w:hAnsi="Arial"/>
                <w:sz w:val="27"/>
                <w:szCs w:val="27"/>
                <w:b w:val="1"/>
                <w:bCs w:val="1"/>
                <w:color w:val="auto"/>
                <w:vertAlign w:val="superscript"/>
              </w:rPr>
              <w:t>(3)(4)</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tcPr>
          <w:p>
            <w:pPr>
              <w:spacing w:after="0" w:line="256" w:lineRule="exact"/>
              <w:rPr>
                <w:sz w:val="20"/>
                <w:szCs w:val="20"/>
                <w:color w:val="auto"/>
              </w:rPr>
            </w:pPr>
            <w:r>
              <w:rPr>
                <w:rFonts w:ascii="Arial" w:cs="Arial" w:eastAsia="Arial" w:hAnsi="Arial"/>
                <w:sz w:val="18"/>
                <w:szCs w:val="18"/>
                <w:color w:val="auto"/>
              </w:rPr>
              <w:t>Mutual Fund</w:t>
            </w:r>
            <w:r>
              <w:rPr>
                <w:rFonts w:ascii="Arial" w:cs="Arial" w:eastAsia="Arial" w:hAnsi="Arial"/>
                <w:sz w:val="29"/>
                <w:szCs w:val="29"/>
                <w:color w:val="auto"/>
                <w:vertAlign w:val="superscript"/>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500" w:type="dxa"/>
            <w:vAlign w:val="bottom"/>
            <w:gridSpan w:val="2"/>
          </w:tcPr>
          <w:p>
            <w:pPr>
              <w:spacing w:after="0" w:line="284" w:lineRule="exact"/>
              <w:rPr>
                <w:sz w:val="20"/>
                <w:szCs w:val="20"/>
                <w:color w:val="auto"/>
              </w:rPr>
            </w:pPr>
            <w:r>
              <w:rPr>
                <w:rFonts w:ascii="Arial" w:cs="Arial" w:eastAsia="Arial" w:hAnsi="Arial"/>
                <w:sz w:val="18"/>
                <w:szCs w:val="18"/>
                <w:color w:val="auto"/>
              </w:rPr>
              <w:t>High Net Worth</w:t>
            </w:r>
            <w:r>
              <w:rPr>
                <w:rFonts w:ascii="Arial" w:cs="Arial" w:eastAsia="Arial" w:hAnsi="Arial"/>
                <w:sz w:val="29"/>
                <w:szCs w:val="29"/>
                <w:color w:val="auto"/>
                <w:vertAlign w:val="superscript"/>
              </w:rPr>
              <w:t>(6)</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gridSpan w:val="3"/>
            <w:vMerge w:val="restart"/>
          </w:tcPr>
          <w:p>
            <w:pPr>
              <w:spacing w:after="0" w:line="324" w:lineRule="exact"/>
              <w:rPr>
                <w:sz w:val="20"/>
                <w:szCs w:val="20"/>
                <w:color w:val="auto"/>
              </w:rPr>
            </w:pPr>
            <w:r>
              <w:rPr>
                <w:rFonts w:ascii="Arial" w:cs="Arial" w:eastAsia="Arial" w:hAnsi="Arial"/>
                <w:sz w:val="35"/>
                <w:szCs w:val="35"/>
                <w:b w:val="1"/>
                <w:bCs w:val="1"/>
                <w:color w:val="auto"/>
                <w:vertAlign w:val="subscript"/>
              </w:rPr>
              <w:t>EBITDA</w:t>
            </w:r>
            <w:r>
              <w:rPr>
                <w:rFonts w:ascii="Arial" w:cs="Arial" w:eastAsia="Arial" w:hAnsi="Arial"/>
                <w:sz w:val="15"/>
                <w:szCs w:val="15"/>
                <w:b w:val="1"/>
                <w:bCs w:val="1"/>
                <w:color w:val="auto"/>
              </w:rPr>
              <w:t>(3)(7)</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High Net Worth</w:t>
            </w:r>
            <w:r>
              <w:rPr>
                <w:rFonts w:ascii="Arial" w:cs="Arial" w:eastAsia="Arial" w:hAnsi="Arial"/>
                <w:sz w:val="29"/>
                <w:szCs w:val="29"/>
                <w:color w:val="auto"/>
                <w:vertAlign w:val="superscript"/>
              </w:rPr>
              <w:t>(6)</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as of December 31.</w:t>
      </w:r>
    </w:p>
    <w:p>
      <w:pPr>
        <w:spacing w:after="0" w:line="252" w:lineRule="exact"/>
        <w:rPr>
          <w:rFonts w:ascii="Arial" w:cs="Arial" w:eastAsia="Arial" w:hAnsi="Arial"/>
          <w:sz w:val="18"/>
          <w:szCs w:val="18"/>
          <w:color w:val="auto"/>
        </w:rPr>
      </w:pPr>
    </w:p>
    <w:p>
      <w:pPr>
        <w:ind w:left="1680" w:right="48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2009, 2010 and 2011, revenue attributable to clients domiciled outside the U.S. was approximately 18%, 33% and 39% of total revenue, respectively.</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 26 to the Consolidated Financial Statements on page 79 describes the basis on which we present our distribution channel operating results.</w:t>
      </w:r>
    </w:p>
    <w:p>
      <w:pPr>
        <w:spacing w:after="0" w:line="199" w:lineRule="exact"/>
        <w:rPr>
          <w:rFonts w:ascii="Arial" w:cs="Arial" w:eastAsia="Arial" w:hAnsi="Arial"/>
          <w:sz w:val="18"/>
          <w:szCs w:val="18"/>
          <w:color w:val="auto"/>
        </w:rPr>
      </w:pPr>
    </w:p>
    <w:p>
      <w:pPr>
        <w:ind w:left="1680" w:right="60" w:hanging="531"/>
        <w:spacing w:after="0" w:line="286"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2011, we changed our estimate of payments to be made under certain of our contingent payment arrangements and recognized a gain totaling $4.8 million ($3.1 million of which is attributable to the controlling interest). This gain was allocated $0.2 million and</w:t>
      </w:r>
    </w:p>
    <w:p>
      <w:pPr>
        <w:ind w:left="1680"/>
        <w:spacing w:after="0"/>
        <w:rPr>
          <w:rFonts w:ascii="Arial" w:cs="Arial" w:eastAsia="Arial" w:hAnsi="Arial"/>
          <w:sz w:val="16"/>
          <w:szCs w:val="16"/>
          <w:color w:val="auto"/>
        </w:rPr>
      </w:pPr>
      <w:r>
        <w:rPr>
          <w:rFonts w:ascii="Arial" w:cs="Arial" w:eastAsia="Arial" w:hAnsi="Arial"/>
          <w:sz w:val="18"/>
          <w:szCs w:val="18"/>
          <w:color w:val="auto"/>
        </w:rPr>
        <w:t>$4.6 million to our Mutual Fund and Institutional channels, respectively.</w:t>
      </w:r>
    </w:p>
    <w:p>
      <w:pPr>
        <w:spacing w:after="0" w:line="245" w:lineRule="exact"/>
        <w:rPr>
          <w:rFonts w:ascii="Arial" w:cs="Arial" w:eastAsia="Arial" w:hAnsi="Arial"/>
          <w:sz w:val="16"/>
          <w:szCs w:val="16"/>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2011, we recorded a $9.2 million expense associated with the revaluation of Indefinite-lived intangible assets.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2011, we determined that the value of a cost method investment had been reduced to zero, and recorded a $12.8 million expense.</w:t>
      </w:r>
    </w:p>
    <w:p>
      <w:pPr>
        <w:spacing w:after="0" w:line="273" w:lineRule="exact"/>
        <w:rPr>
          <w:rFonts w:ascii="Arial" w:cs="Arial" w:eastAsia="Arial" w:hAnsi="Arial"/>
          <w:sz w:val="15"/>
          <w:szCs w:val="15"/>
          <w:color w:val="auto"/>
        </w:rPr>
      </w:pPr>
    </w:p>
    <w:p>
      <w:pPr>
        <w:ind w:left="1680" w:right="4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including a reconciliation to cash flow from operations, is discussed in greater detail in "Supplemental Liquidity Measure" on page 30.</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 Distribution Channel</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Through our Affiliates, we provide advisory or sub-advisory services to mutual funds. These funds are distributed to retail and institutional clients directly and through intermediaries, including independent investment advisors, retirement plan sponsors, broker-dealers, major fund marketplaces and bank trust departments.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Utilizing the distribution, sales, client service and back-office capabilities of Managers Investment Group LLC ("Managers"), our Affiliates are provided access to the Mutual Fund wholesale distribution channel and wrap sponsor platforms. Managers offers Affiliates a single point of contact for retail intermediaries such as banks, brokerage firms and other sponsored platforms. Within this distribution channel, Managers is presently servicing and distributing approximately 40 mutual funds, including funds managed by twelve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 Distribution Channel</w:t>
      </w:r>
    </w:p>
    <w:p>
      <w:pPr>
        <w:spacing w:after="0" w:line="225" w:lineRule="exact"/>
        <w:rPr>
          <w:sz w:val="20"/>
          <w:szCs w:val="20"/>
          <w:color w:val="auto"/>
        </w:rPr>
      </w:pPr>
    </w:p>
    <w:p>
      <w:pPr>
        <w:ind w:right="480" w:firstLine="348"/>
        <w:spacing w:after="0" w:line="298" w:lineRule="auto"/>
        <w:rPr>
          <w:sz w:val="20"/>
          <w:szCs w:val="20"/>
          <w:color w:val="auto"/>
        </w:rPr>
      </w:pPr>
      <w:r>
        <w:rPr>
          <w:rFonts w:ascii="Arial" w:cs="Arial" w:eastAsia="Arial" w:hAnsi="Arial"/>
          <w:sz w:val="16"/>
          <w:szCs w:val="16"/>
          <w:color w:val="auto"/>
        </w:rPr>
        <w:t>Through our Affiliates, we offer a broad range of investment styles in the Institutional distribution channel, including small, small/mid, mid and large capitalization value, growth equity and emerging markets. In addition, our Affiliates offer quantitative, alternative and fixed income products. Through this distribution channel, our Affiliates manage assets for foundations and endowments, defined benefit and defined contribution plans for corporations and municipalities, and Taft-Hartley plans, with disciplined and focused investment styles that address the specialized needs of institutional clients.</w:t>
      </w:r>
    </w:p>
    <w:p>
      <w:pPr>
        <w:spacing w:after="0" w:line="16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Our institutional investment products are distributed by over 100 sales and marketing professionals who develop new institutional business through direct sales efforts and established relationships with pension consultants. Our efforts are designed to ensure that our Affiliates' products and services successfully address the specialized needs of their clients and are responsive to the evolving demands of the marketplace and provide our Affiliates with resources to improve sales and marketing materials, network with the pension consultant and plan sponsor communities, and further expand and establish new distribution alternatives.</w:t>
      </w:r>
    </w:p>
    <w:p>
      <w:pPr>
        <w:spacing w:after="0" w:line="152"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continue to work with our Affiliates in executing and enhancing their marketing and client service initiatives by expanding our global distribution platform. Our global distribution platform includes offices in Sydney, serving institutional investors in Australia and New Zealand; London, serving institutional investors in the United Kingdom and Europe; Dubai, serving institutional investors in the Middle East; and Hong Kong, serving institutional investors in Asia. Our Affiliates currently manage approximately $150.0 billion in assets for non-U.S. clients in more than 40 countries, including Australia, Brazil, Canada, Germany, Japan, Luxembourg, the Netherlands, Singapore, the United Arab Emirates and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Net Worth Distribution Channel</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High Net Worth distribution channel is comprised broadly of two principal client groups. The first group consists principally of direct relationships with high net worth individuals and families and charitable foundations. For these clients, our Affiliates provide investment management or customized investment counseling and fiduciary services. The second group consists of individual managed account client relationships established through intermediaries, which are generally brokerage firms or other sponsors. Our Affiliates provide investment management services through more than 100 managed account and wrap programs.</w:t>
      </w:r>
    </w:p>
    <w:p>
      <w:pPr>
        <w:spacing w:after="0" w:line="197"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We have undertaken several initiatives to provide our Affiliates with enhanced managed account distribution and administration capabilities. Within our High Net Worth distribution channel, Managers is presently distributing more than 20 investment products managed by multiple Affiliates. Managers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distributes single and multi-manager separate account products and mutual funds through brokerage firms.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Structure and Relationship with Affiliates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making investments in boutique investment management firms, we seek to partner with the highest quality firms in the industry, with outstanding management teams, strong long-term performance records and a demonstrated commitment to continued growth and success. Fundamental to our investment approach is the belief that Affiliate management equity ownership (along with AMG's ownership) aligns our interests and provides Affiliate managers with a powerful incentive to continue to grow their business. Our investment structure provides a degree of liquidity and diversification to principal owners of boutique investment management firms, while at the same time expanding equity ownership opportunities among the firm's management and allowing management to continue to participate in the firm's future growth. Our partnership approach also ensures that Affiliates maintain operational autonomy in managing their business, thereby preserving their firm's entrepreneurial culture and independence.</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the specific structure of each investment is highly tailored to meet the needs of a particular Affiliate, in all cases, we establish a meaningful equity interest in the firm, with the remaining equity interests retained by the management of the Affiliate. Each Affiliate is organized as a separate firm, and its operating or shareholder agreement is structured to provide appropriate incentives for Affiliate management owners and to address the Affiliate's particular characteristics while also enabling us to protect our interests, including through arrangements such as long-term employment agreements with key members of the firm's management team.</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most cases, we own a majority of the equity interests of a firm and structure a revenue sharing arrangement, in which a percentage of revenue is allocated for use by management of that Affiliate in paying operating expenses of the Affiliate, including salaries and bonuses. We call this the "Operating Allocation." The portion of each Affiliate's revenue that is allocated to the owners of that Affiliate (including us) is called the "Owners' Allocation." Each Affiliate allocates its Owners' Allocation to its managers and to us generally in proportion to their and our respective ownership interests in that Affiliate.</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One of the purposes of our revenue sharing arrangements is to provide ongoing incentives for Affiliate managers by allowing them to participate in the growth of their firm's revenue, which may increase their compensation from both the Operating Allocation and the Owners' Allocation. These arrangements also provide incentives to control operating expenses, thereby increasing the portion of the Operating Allocation that is available for growth initiatives and compensation.</w:t>
      </w:r>
    </w:p>
    <w:p>
      <w:pPr>
        <w:spacing w:after="0" w:line="197"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An Affiliate's Operating Allocation is structured to cover its operating expenses. However, should actual operating expenses exceed the Operating Allocation, our contractual share of cash under the Owners' Allocation generally has priority over the allocations and distributions to the Affiliate's managers. As a result, the excess expenses first reduce the portion of the Owners' Allocation allocated to the Affiliate's managers until that portion is eliminated, before reducing the portion allocated to us. Any such reduction in our portion of the Owners' Allocation is required to be paid back to us out of the portion of future Owners' Allocation allocated to the Affiliate's managers.</w:t>
      </w:r>
    </w:p>
    <w:p>
      <w:pPr>
        <w:spacing w:after="0" w:line="197"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minority investments are also structured to align our interests with those of the Affiliate's management through shared equity ownership, as well as to preserve the Affiliate's entrepreneurial culture and independence by maintaining the Affiliate's operational autonomy. In cases where we hold a minority investment, the revenue sharing arrangement generally allocates a percentage of the Affiliate's revenue to us. The remaining revenue is used to pay operating expenses and profit distributions to the other owners. Generally where we own a minority investment, we are required to use the equity method of accounting. Consistent with this method, we have not consolidated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results of these firms (including their revenue) in our Consolidated Statements of Income. Our share of these firms' profits (net of intangible amortization) is reported in Income from equity method investments, and is therefore reflected in our Net income and EBITDA. As a consequence, increases or decreases in these firms' assets under management ($86.9 billion as of December 31, 2011 and included in our reported Assets under Management) will not affect our reported revenue.</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Certain of our Affiliates operate under profit-based arrangements through which we own a majority of the equity in the firm and receive a share of profits as cash flow, rather than a percentage of revenue through a typical revenue sharing agreement. As a result, we participate fully in any increase or decrease in the revenue or expenses of such firms. In these cases, we participate in a budgeting process and generally provide incentives to management through compensation arrangements based on the performance of the Affiliate.</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are focused on establishing and maintaining long-term partnerships with our Affiliates. Our shared equity ownership gives both us and our Affiliates meaningful incentives to manage their businesses for strong future growth. From time to time, we may consider changes to the structure of our relationship with an Affiliate in order to better support the firm's growth strategy.</w:t>
      </w:r>
    </w:p>
    <w:p>
      <w:pPr>
        <w:spacing w:after="0" w:line="19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Many of our Affiliate operating agreements provide our Affiliate managers conditional rights ("put rights") that enable them to sell their retained equity interests to us at certain intervals, gradually over time. These agreements also provide us conditional rights to require the managers to sell their interests to us ("call rights"). We believe these rights enhance our ability to keep our ownership within a desired range and provide Affiliate managers sufficient incentives to grow and improve their business and create equity value for themselves. These rights help facilitate our ability to provide equity ownership opportunities in our Affiliates to more junior members of their management teams.</w:t>
      </w:r>
    </w:p>
    <w:p>
      <w:pPr>
        <w:spacing w:after="0" w:line="197"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Through our Affiliates, we derive most of our revenue from the provision of investment management services. Investment management fees ("asset-based fees") are usually determined as a percentage fee charged on periodic values of a client's assets under management; most asset-based fees are billed by our Affiliates quarterly. Our private equity products bill advisory fees on committed capital.</w:t>
      </w:r>
    </w:p>
    <w:p>
      <w:pPr>
        <w:spacing w:after="0" w:line="194"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Certain clients are billed for all or a portion of their accounts based upon assets under management valued at the beginning of a billing period ("in advance"). Other clients are billed for all or a portion of their accounts based upon assets under management valued at the end of the billing period ("in arrears"). Most client accounts in the High Net Worth distribution channel are billed in advance, and most client accounts in the Institutional distribution channel are billed in arrears.</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Clients in the Mutual Fund distribution channel are billed based upon average daily assets under management. Asset-based fees billed in advance will not reflect subsequent changes in the market value of assets under management for that period but may reflect changes due to client withdrawals. Conversely, asset-based fees billed in arrears will reflect changes in the market value of assets under management for that period.</w:t>
      </w:r>
    </w:p>
    <w:p>
      <w:pPr>
        <w:spacing w:after="0" w:line="163"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over 75 Affiliate alternative investment and equity products, representing approximately $40.4 billion of assets under management (as of December 31, 2011), also bill on the basis of absolute or relative investment performance ("performance fees"). These products, which are primarily in the Institutional distribution channel, are often structured to have returns that are not directly correlated to changes in broader equity indices and, if earned, the performance fee component is typically billed less frequently than an asset-based fee. Although performance fees inherently depend on investment results and will vary from period to period, we anticipate performance fees to be a recurring component of our revenue. We also anticipate that, within any calendar year, the majority of performance fees will typically be realized in the fourth quarter.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Net income reflects the revenue of our consolidated Affiliates and our share of income from Affiliates which we account for under the equity method, reduced by:</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expenses, including the operating expenses of our consolidated Affiliates;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profits allocated to managers of our consolidated Affiliates (i.e., non-controlling interest).</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discussed above, for consolidated Affiliates with revenue sharing arrangements, the operating expenses of the Affiliate as well as its managers' non-controlling interest generally increase (or decrease) as the Affiliate's revenue increases (or decreases) because of the direct relationship established in many of our agreements between the Affiliate's revenue and its Operating Allocation and Owners' Allocation. At our consolidated profit-based Affiliates, expenses may or may not correspond to increases or decreases in the Affiliates'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profitability will depend on a variety of factors, including:</w:t>
      </w:r>
    </w:p>
    <w:p>
      <w:pPr>
        <w:spacing w:after="0" w:line="239" w:lineRule="exact"/>
        <w:rPr>
          <w:sz w:val="20"/>
          <w:szCs w:val="20"/>
          <w:color w:val="auto"/>
        </w:rPr>
      </w:pPr>
    </w:p>
    <w:p>
      <w:pPr>
        <w:ind w:left="1080" w:right="1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affecting the global financial markets generally and the equity markets particularly, which could potentially result in considerable increases or decreases in the assets under management at our Affiliates;</w:t>
      </w:r>
    </w:p>
    <w:p>
      <w:pPr>
        <w:spacing w:after="0" w:line="199"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Affiliate revenue, which is dependent on the ability of our existing and future Affiliates to maintain or increase assets under management by maintaining their existing investment advisory relationships and fee structures, marketing their services successfully to new clients and obtaining favorable investment results;</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receipt of Owners' Allocation from Affiliates with revenue sharing arrangements, which depends on the ability of our existing and future Affiliates to maintain certain levels of operating profit margins;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increases or decreases in the revenue and expenses of Affiliates that operate on a profit-based model;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and cost of the capital with which we finance our existing and new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making new investments and the terms upon which such transactions are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intangible assets and the associated amortization expense resulting from our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 including compensation for our employees;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taxation to which we are subject.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Diversification of Assets under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the composition of our assets under management as of December 31, 2011.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Assets under</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Management</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i w:val="1"/>
                <w:i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Distribution Channel: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85.2</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Class:</w:t>
            </w: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100" w:type="dxa"/>
            <w:vAlign w:val="bottom"/>
            <w:gridSpan w:val="2"/>
            <w:shd w:val="clear" w:color="auto" w:fill="CCEEFF"/>
          </w:tcPr>
          <w:p>
            <w:pPr>
              <w:spacing w:after="0" w:line="259" w:lineRule="exact"/>
              <w:rPr>
                <w:sz w:val="20"/>
                <w:szCs w:val="20"/>
                <w:color w:val="auto"/>
              </w:rPr>
            </w:pPr>
            <w:r>
              <w:rPr>
                <w:rFonts w:ascii="Arial" w:cs="Arial" w:eastAsia="Arial" w:hAnsi="Arial"/>
                <w:sz w:val="18"/>
                <w:szCs w:val="18"/>
                <w:color w:val="auto"/>
              </w:rPr>
              <w:t>Equity</w:t>
            </w:r>
            <w:r>
              <w:rPr>
                <w:rFonts w:ascii="Arial" w:cs="Arial" w:eastAsia="Arial" w:hAnsi="Arial"/>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Alternative</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327.5</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Geography:</w:t>
            </w:r>
            <w:r>
              <w:rPr>
                <w:rFonts w:ascii="Arial" w:cs="Arial" w:eastAsia="Arial" w:hAnsi="Arial"/>
                <w:sz w:val="27"/>
                <w:szCs w:val="27"/>
                <w:color w:val="auto"/>
                <w:vertAlign w:val="superscript"/>
              </w:rPr>
              <w:t>(3)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Global/International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Emerging Markets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Equity asset class includes equity, balanced and asset allocation products.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Alternative asset class includes private equity, multi-strategy, market neutral equity and hedge products.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Geography of a particular investment product describes the general location of its investment holdings.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Affiliates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target investment universe includes more than 1,800 investment management firms globally, and we have established relationships with approximately 800 of these firms and continue to develop new relationships with additional firms. This group of boutique investment management firms includes independently owned firms, as well as investment management subsidiaries of larger organizations and strategic distribution firms located around the world. We believe that demographic trends will continue to create a number of transaction opportunities as the founders of independent firms experience a need for partnership transition and succession planning, or otherwise seek a degree of diversification and additional resources to pursue their growth strategy. In addition, we expect that the number of transaction opportunities available to us will be further enhanced as larger financial organizations dispose of non-core asset management subsidiaries and private equity firms sell investments in asset managers.</w:t>
      </w:r>
    </w:p>
    <w:p>
      <w:pPr>
        <w:spacing w:after="0" w:line="17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well positioned to execute upon these investment opportunities through our established process of identifying and cultivating investment prospects, our broad industry relationships, as well as our substantial experience and expertise in structuring and negotiating transactions. In addition, we have a strong reputation as an effective partner to our existing Affiliates, and are recognized as an innovative, supportive institutional partner for the highest quality boutique investment management firms.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each of our three principal distribution channels, we and our Affiliates compete with a large number of other domestic and foreign investment management firms, as well as subsidiaries of larger financial organizations. In comparison to us and our Affiliates, these firms may have significantly greater financial, technological and marketing resources, captive distribution and greater assets under management and many offer an even broader array of investment products and services. Since certain Affiliates are active in the same distribution channels, from time to time they compete with each other for clients. In addition, there are relatively few barriers to entry for new investment management firms to compete with our Affiliates, especially in the Institutional distribution channel. We believe that the most important factors affecting our ability to compete for clients in our three principal distribution channels are the:</w:t>
      </w:r>
    </w:p>
    <w:p>
      <w:pPr>
        <w:spacing w:after="0" w:line="188" w:lineRule="exact"/>
        <w:rPr>
          <w:sz w:val="20"/>
          <w:szCs w:val="20"/>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records, investment style and discipline, and reputation of our Affiliates and their management teams, as well as their ability to attract and retain high quality investment professionals;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depth and continuity of client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diversity of products offered;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of client service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business relationships with the major intermediaries who currently distribute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development and marketing of new investment strategies and ability to access opportunities to meet the changing needs of investors.</w:t>
      </w:r>
    </w:p>
    <w:p>
      <w:pPr>
        <w:spacing w:after="0" w:line="248"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relative importance of each of these factors can vary depending on the distribution channel and the type of investment management service involved, as well as general market conditions. Each Affiliate's ability to retain and increase assets under management would be adversely affected if client accounts underperform in comparison to relevant benchmarks or peer groups, or if key personnel leave the Affiliate. The ability of each Affiliate to compete with other investment management firms also depends, in part, on the relative attractiveness of its investment philosophies and methods under then-prevailing market trends.</w:t>
      </w:r>
    </w:p>
    <w:p>
      <w:pPr>
        <w:spacing w:after="0" w:line="152"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component of our growth strategy is the acquisition of equity interests in additional high-quality boutique investment management firms. In seeking to acquire such equity interests, we compete with a number of acquirers of investment management firms, including other investment management companies, private equity firms, sovereign wealth funds and larger financial organizations. Many of these competitors have longer operating histories and greater financial and strategic resources than we do, which may make our competitors more attractive to the owners of the firms in which we are considering an investment. In addition, these competitors may have a lower cost of capital and access to funding sources that are not available to us. We believe that important factors affecting our ability to compete for future investments are the:</w:t>
      </w:r>
    </w:p>
    <w:p>
      <w:pPr>
        <w:spacing w:after="0" w:line="188" w:lineRule="exact"/>
        <w:rPr>
          <w:sz w:val="20"/>
          <w:szCs w:val="20"/>
          <w:color w:val="auto"/>
        </w:rPr>
      </w:pPr>
    </w:p>
    <w:p>
      <w:pPr>
        <w:ind w:left="1080" w:right="4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degree to which target firms view our investment structure as preferable, financially, operationally or otherwise, to acquisition or investment arrangements offered by other potential purchasers;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 and performance of our existing and future Affiliates, by which target firms may judge us and our future prospects.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Affiliates' businesses are subject to complex and extensive regulation by various regulatory authorities in jurisdictions around the world. This regulatory environment may be altered without notice by new laws or regulations, revisions to existing regulations or new interpretations or guidance. Changes in these laws or regulations could have a material adverse impact on our Affiliates' businesses, our profitability and mode of operations, and could require that we or our Affiliates incur substantial cost or curtail our operations or investment offerings. Regulatory authorities may also conduct examinations or inspections of our operations or those of our Affiliates and any determination of a failure to comply with laws or regulations could result in disciplinary or enforcement action with penalties that may include the disgorgement of fees, fines, suspensions or censure of individual employees or revocation or limitation of business activities or registration. Even in the absence of wrongdoing, regulatory inquiries or proceedings could cause substantial expenditures of time and capital and result in reputational damage, and potentially have an adverse effect on the price of our common stock. Global financial regulatory reform initiatives are likely to result in more stringent regulation of the financial services industry in which we and our Affiliates operate, which could adversely affect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Corporate Organization</w:t>
      </w:r>
    </w:p>
    <w:p>
      <w:pPr>
        <w:spacing w:after="0" w:line="231" w:lineRule="exact"/>
        <w:rPr>
          <w:sz w:val="20"/>
          <w:szCs w:val="20"/>
          <w:color w:val="auto"/>
        </w:rPr>
      </w:pPr>
    </w:p>
    <w:p>
      <w:pPr>
        <w:jc w:val="both"/>
        <w:ind w:right="180" w:firstLine="341"/>
        <w:spacing w:after="0" w:line="306" w:lineRule="auto"/>
        <w:rPr>
          <w:sz w:val="20"/>
          <w:szCs w:val="20"/>
          <w:color w:val="auto"/>
        </w:rPr>
      </w:pPr>
      <w:r>
        <w:rPr>
          <w:rFonts w:ascii="Arial" w:cs="Arial" w:eastAsia="Arial" w:hAnsi="Arial"/>
          <w:sz w:val="16"/>
          <w:szCs w:val="16"/>
          <w:color w:val="auto"/>
        </w:rPr>
        <w:t>As of December 31, 2011, we employed approximately 120 persons and our Affiliates employed approximately 1,900 persons, the substantial majority of which were full-time employees. Neither we nor any of our Affiliates is subject to any collective bargaining agreements, and we believe that our labor relations are good. We were formed in 1993 as a corporation under the laws of the State of Delaware.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 Site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Our web site is </w:t>
      </w:r>
      <w:r>
        <w:rPr>
          <w:rFonts w:ascii="Arial" w:cs="Arial" w:eastAsia="Arial" w:hAnsi="Arial"/>
          <w:sz w:val="16"/>
          <w:szCs w:val="16"/>
          <w:i w:val="1"/>
          <w:iCs w:val="1"/>
          <w:color w:val="auto"/>
        </w:rPr>
        <w:t>www.amg.com</w:t>
      </w:r>
      <w:r>
        <w:rPr>
          <w:rFonts w:ascii="Arial" w:cs="Arial" w:eastAsia="Arial" w:hAnsi="Arial"/>
          <w:sz w:val="16"/>
          <w:szCs w:val="16"/>
          <w:color w:val="auto"/>
        </w:rPr>
        <w:t>. It provides information about us, as well as a link in the "Investor Information" section of our web site to another web site where you can obtain, free of charge, a copy of our Annual Reports on Form 10-K, Quarterly Reports on Form 10-Q, Current Reports on Form 8-K, including exhibits, and any amendments to those reports filed or furnished with the Securities and Exchange Commission pursuant to Section 13(a) or 15(d) of the Securities Exchange Act of 1934, as amended. We make these reports available through our web site as soon as reasonably practicable after our electronic filing of such materials with, or the furnishing of them to, the Securities and Exchange Commission. The information contained or incorporated on our web site is not a part of this Annual Report on Form 10-K.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face a variety of risks that are substantial and inherent in our business, including market, liquidity, credit, operational, legal and regulatory risks. The following are some of the more important factors that could affect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depend on equity market returns and the investment performance of our Affiliates.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Affiliates typically receive fees based on the market value of assets under management, and payments will be adversely affected by declines in the equity markets. In addition, some of our Affiliates are paid fees based on investment performance on an absolute basis or relative to a specified benchmark and, as such, are directly dependent upon investment results which may vary substantially from year to year. Unfavorable market performance and volatility in the capital markets or in the prices of specific securities may reduce our Affiliates' assets under management, which in turn may adversely affect the fees payable to our Affiliates and, ultimately, our consolidated results of operations and financial condition. Because our assets under management are largely concentrated in equity products, our results are particularly susceptible to downturns in the equity markets, or a decline in the assets invested in the equity markets.</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growth strategy depends upon continued growth from our existing Affiliates and upon making new investments in boutique investment management firms.</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Affiliates may not maintain their respective levels of performance or contribute to our growth at their historical or currently anticipated levels. Also, our Affiliates may be unable to carry out their management succession plans, which may adversely affect their operations and revenue streams and thus our results of operations.</w:t>
      </w:r>
    </w:p>
    <w:p>
      <w:pPr>
        <w:spacing w:after="0" w:line="194" w:lineRule="exact"/>
        <w:rPr>
          <w:sz w:val="20"/>
          <w:szCs w:val="20"/>
          <w:color w:val="auto"/>
        </w:rPr>
      </w:pPr>
    </w:p>
    <w:p>
      <w:pPr>
        <w:jc w:val="both"/>
        <w:ind w:right="120" w:firstLine="348"/>
        <w:spacing w:after="0" w:line="256" w:lineRule="auto"/>
        <w:rPr>
          <w:sz w:val="20"/>
          <w:szCs w:val="20"/>
          <w:color w:val="auto"/>
        </w:rPr>
      </w:pPr>
      <w:r>
        <w:rPr>
          <w:rFonts w:ascii="Arial" w:cs="Arial" w:eastAsia="Arial" w:hAnsi="Arial"/>
          <w:sz w:val="18"/>
          <w:szCs w:val="18"/>
          <w:color w:val="auto"/>
        </w:rPr>
        <w:t>The success of our investment program will depend upon our ability to find suitable firms in which to invest, our ability to negotiate agreements with such firms on acceptable terms, and our ability to raise the capital necessary to finance such transactions. We cannot be certain that we will be successful in finding or investing in such firms or that they will have favorable operating results following our investment, which could have an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affected by the financial stability of other financial institutions.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and our Affiliates routinely execute transactions with various counterparties in the financial services industry. Historical market volatility highlights the interconnection of the global markets and demonstrates how the deteriorating financial condition of one institution may materially and adversely impact the performance of other institutions. We and our Affiliates may be exposed to such risk in the event that a counterparty with whom we transact defaults on its obligations, or if there are other unrelated systemic failures in the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equity markets and our common stock have been volatile.</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market price of our common stock historically has experienced and may continue to experience volatility, and the broader equity markets have experienced and may again experience significant price and volume fluctuations. In addition, our announcements of our quarterly operating results, changes in general conditions in the economy or the financial markets and other developments affecting us, our Affiliates or our competitors could cause the market price of our common stock to fluctuate substantially.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businesses are highly regulated.</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Affiliates' businesses are subject to extensive regulation by various regulatory authorities in jurisdictions around the world. If we or any of our Affiliates were to fail to comply with those regulations or be named as a subject of an investigation or other regulatory action, the public announcement and potential publicity surrounding any such investigation or action could have a material adverse effect on our stock price and result in increased costs even if we (or our Affiliates) were found not to have violated the regulations or the law. The failure of AMG or any Affiliate to satisfy regulatory requirements could subject it to sanctions that might materially impact our business and the Affiliate's business. Changes in laws or regulatory requirements, or the interpretation or application of such laws and regulatory requirements by regulatory authorities, can occur without notice and could have a material adverse impact on our profitability and mode of operations. Proposals in the United States and the European Union have called for more stringent regulation and additional taxation of the financial services industry in which we and our Affiliates operate, which may make it more likely that changes will occur that could adversely affect our business, our access to capital and the market for our common stock.</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U.S., the 2010 Dodd-Frank Wall Street Reform and Consumer Protection Act represents a comprehensive overhaul of the financial services regulatory environment and will require federal agencies to implement numerous new rules, the extent of which is not yet known and many of which may not be implemented for months or even years. In the United Kingdom and Europe, our business may be impacted by financial services reform initiatives enacted or under consideration in the European Union. Compliance with these new laws and regulations may result in increased compliance costs and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foreign risks, including political, regulatory, economic and currency risks.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and some of our Affiliates operate offices or advise clients outside of the United States, and several Affiliates are based outside the United States. Accordingly, we and our current and any prospective Affiliates that have foreign operations are subject to risks inherent in doing business internationally, in addition to the risks our business faces more generally. These risks may include changes in applicable laws and regulatory requirements, difficulties in staffing and managing foreign operations, longer payment cycles, difficulties in collecting investment advisory fees receivable, different, and in some cases, less stringent legal, regulatory and accounting regimes, political instability, fluctuations in currency exchange rates, expatriation controls, expropriation risks and potential adverse tax consequences. These or other risks related to our international operations may have an adverse effect both on our Affiliates and on our consolidated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Affiliates' autonomy limits our ability to alter their management practices and policies, and we may be held responsible for liabilities incurred by them.</w:t>
      </w:r>
    </w:p>
    <w:p>
      <w:pPr>
        <w:spacing w:after="0" w:line="260" w:lineRule="exact"/>
        <w:rPr>
          <w:sz w:val="20"/>
          <w:szCs w:val="20"/>
          <w:color w:val="auto"/>
        </w:rPr>
      </w:pPr>
    </w:p>
    <w:p>
      <w:pPr>
        <w:ind w:right="260" w:firstLine="341"/>
        <w:spacing w:after="0" w:line="298" w:lineRule="auto"/>
        <w:rPr>
          <w:sz w:val="20"/>
          <w:szCs w:val="20"/>
          <w:color w:val="auto"/>
        </w:rPr>
      </w:pPr>
      <w:r>
        <w:rPr>
          <w:rFonts w:ascii="Arial" w:cs="Arial" w:eastAsia="Arial" w:hAnsi="Arial"/>
          <w:sz w:val="16"/>
          <w:szCs w:val="16"/>
          <w:color w:val="auto"/>
        </w:rPr>
        <w:t>Although our agreements with our Affiliates typically give us the authority to control and/or vote with respect to certain of their business activities, we generally are not directly involved in managing our Affiliates' day-to-day activities, including investment management policies and procedures, fee levels, marketing and product development, client relationships, employment and compensation programs and compliance activities. As a consequence, our financial condition and results of operations may be adversely affected by problems stemming from the day-to-day operations of our Affiliates.</w:t>
      </w:r>
    </w:p>
    <w:p>
      <w:pPr>
        <w:spacing w:after="0" w:line="16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Some of our Affiliates are partnerships or limited liability companies of which we, or entities controlled by us, are the general partner or managing member. Consequently, to the extent that any of these Affiliates incur liabilities or expenses that exceed its ability to pay for them, we may be directly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indirectly liable for their payment. In addition, with respect to each of our Affiliates, we may be held liable in some circumstances as a control person for the acts of the Affiliate or its employees. While we and our Affiliates maintain errors and omissions and general liability insurance in amounts believed to be adequate to cover certain potential liabilities, we cannot be certain that we will not have claims that exceed the limits of available insurance coverage, that the insurers will remain solvent and will meet their obligations to provide coverage or that insurance coverage will continue to be available to us and our Affiliates with sufficient limits and at a reasonable cost. A judgment in excess of available insurance coverage could have a material adverse effect on our financial condition.</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depend on regular distributions from our Affiliates to fund our operations. In addition, our structure results in substantial structural subordination that may affect our ability to make payments on our obligations.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receive cash distributions from our Affiliates. An Affiliate's payment of distributions to us may be subject to claims by the Affiliate's creditors and to limitations applicable to the Affiliate under federal and state laws, including securities and bankruptcy laws, and any applicable non-U.S. laws. Additionally, an Affiliate may default on some or all of the distributions that are payable to us. If we do not receive the distributions to which we are entitled under our agreements with our Affiliates, it would adversely affect us, and may affect our ability to make payments on our obligations.</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right to receive any assets of our Affiliates or subsidiaries upon their liquidation or reorganization, and thus the right of the holders of our securities to benefit from those assets, typically would be subordinated to the claims of that entity's creditors. In addition, even if we were a creditor of any of our Affiliates or subsidiaries, our rights as a creditor would be subordinate to any security interest and indebtedness that is senior to us.</w:t>
      </w:r>
    </w:p>
    <w:p>
      <w:pPr>
        <w:spacing w:after="0" w:line="16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agreed-upon expense allocation under our revenue sharing arrangements with our Affiliates may not be large enough to pay for all of the respective Affiliate's operating expenses.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Affiliates have generally entered into agreements with us under which they have agreed to pay us a specified percentage of their respective gross revenue, while retaining a percentage of revenue for use in paying that Affiliate's operating expenses. We may not anticipate and reflect in those agreements possible changes in the revenue and expense base of any Affiliate, and the agreed-upon expense allocation may not be large enough to pay for all of an Affiliate's operating expenses. We may elect to defer the receipt of our share of an Affiliate's revenue to permit the Affiliate to fund such operating expenses, or we may restructure our relationship with an Affiliate with the aim of maximizing the long-term benefits to us, but we cannot be certain that any such deferral or restructured relationship would be of any greater benefit to us. Such a deferral or restructured relationship may have an adverse effect on our near-term or long-term profitability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issuance of substantial amounts of our common stock could adversely impact the price of our common stock.</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sale of substantial amounts of our common stock in the public market could adversely impact its price. In connection with our financing activities, we issued securities and entered into contracts that may result in the issuance of our common stock upon the occurrence of certain events. As of December 31, 2011, approximately 7.8 million shares remain issuable under the terms of our convertible securities. Moreover, in connection with future financing activities, we may issue additional convertible securities or shares of our common stock. Any such issuance of shares of our common stock could have the effect of substantially diluting the interests of our current equity holders. In the event that a large number of shares of our common stock are sold in the public market, the price of our common stock may fall.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failure to consummate announced investments in new investment management firms could have an adverse effect on our operating results and financial condition.</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Consummation of our acquisition transactions is generally subject to a number of closing conditions, contingencies and approvals, including but not limited to obtaining certain consents of the investment management firms' clients. In the event that an announced transaction is not consummated, we may experience a decline in the price of our common stock to the extent that the then-current market price reflects a market assumption that we will complete the announced transaction. In addition, the fact that a transaction did not close after we announced it publicly may negatively affect our ability and prospects to consummate transactions in the future. Finally, we must pay costs related to these transactions, including legal and accounting fees, even if the transactions are not completed, which may have an adverse effect on our results of operations and financial condition.</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expect that we will need to raise additional capital in the future, and existing or future resources may not be available to us in sufficient amounts or on acceptable terms.</w:t>
      </w:r>
    </w:p>
    <w:p>
      <w:pPr>
        <w:spacing w:after="0" w:line="186"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While we believe that our existing cash resources and cash flow from operations will be sufficient to meet our working capital needs for normal operations for the foreseeable future, our continuing acquisitions of interests in new affiliated investment management firms may require additional capital. We may also need to repurchase some or all of our $460.0 million of outstanding 3.95% convertible senior notes in the third quarter of 2013. We are contingently liable to make additional purchase payments upon the achievement of specified financial targets in connection with certain of our prior acquisitions and we have obligations to purchase additional equity in existing Affiliates, which obligations may be triggered from time to time. These obligations may require more cash than is then available from operations. Thus, we may need to raise capital by making additional borrowings or by selling shares of our common stock or other equity or debt securities, or to otherwise refinance a portion of these obligations. As of December 31, 2011, we are in compliance with the terms of our credit facility, which matures in 2016.</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level of indebtedness may increase if we fund one or more future acquisitions through borrowings under our credit facility. This additional indebtedness could increase our vulnerability to general adverse economic and industry conditions and will require us to dedicate a greater portion of our cash flow from operations to payments on our indebtedness.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financing activities described above could increase our interest expense, decrease our Net income and dilute the interests of our existing stockholders. In addition, our access to further capital, and the cost of capital we are able to access, is influenced by our credit rating. A reduction in our credit rating could increase our borrowing costs and may limit our access to the capital markets.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substantial intangibles on our balance sheet, and any impairment of our intangibles could adversely affect our results of operations.</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At December 31, 2011, our total assets were approximately $5.2 billion, of which approximately $3.4 billion were intangible assets, and approximately</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$0.6 billion were Equity investments in Affiliates, an amount comprised primarily of intangible assets. We cannot be certain that we will ever realize the value of such intangible assets. An impairment of our intangible assets or an other than temporary decline in the value of our equity investments could adversely affect our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225"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depend on the efforts of our executive officers and our other officers and employees. Our executive officers, in particular, play an important role in the stability and growth of our existing Affiliates and in identifying potential investment opportunities for us. We do not have employment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agreements with our officers, although each of them has a significant equity interest, including stock options.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agreements and employment agreements in an effort to retain key management personnel, there is no guarantee that these principals will remain with their firms. Since certain Affiliates contribute significantly to our revenue, the loss of key management personnel at these Affiliates could have a disproportionate adverse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investment management contracts are subject to termination on short notice.</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Affiliates derive almost all of their revenue from their clients based upon their investment management contracts with those clients. These contracts are typically terminable by the client without penalty upon relatively short notice (typically not longer than 60 days) and may not be assignable without consent. We cannot be certain that our Affiliates will be able to retain their existing clients or attract new clients. If our Affiliates' clients withdraw a substantial amount of funds, it is likely to harm our results. In addition, investment management contracts with mutual funds are subject to annual approval by each fund's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Through our Affiliates, we compete with a broad range of investment managers, including public and private investment advisors, firms associated with securities broker-dealers, financial institutions, insurance companies, private equity firms, sovereign wealth funds and other entities that serve our three principal distribution channels, many of whom have greater resources. This competition may reduce the fees that our Affiliates can obtain for their services. We believe that our Affiliates' ability to compete effectively with other firms in our three distribution channels depends upon our Affiliates' products, investment performance and client-servicing capabilities, and the marketing and distribution of their investment products. Our Affiliates may not compare favorably with their competitors in any or all of these categories. From time to time, our Affiliates also compete with each other for clients.</w:t>
      </w:r>
    </w:p>
    <w:p>
      <w:pPr>
        <w:spacing w:after="0" w:line="174"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market for acquisitions of interests in investment management firms is highly competitive. Many other public and private financial services companies, including commercial and investment banks, insurance companies and investment management firms, which may have significantly greater resources than we do, also invest in or buy investment management firms. We cannot guarantee that we will be able to compete effectively with such companies, that new competitors will not enter the market or that such competition will not make it more difficult or not feasible for us to make new investments in investment management firms.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are no unresolved written comments that were received from the Securities and Exchange Commission staff 180 days or more before the end of our fiscal year relating to our periodic or current reports under the Securities Exchange Act of 1934, as amended.</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headquarters and principal offices are located at 600 Hale Street, Prides Crossing, Massachusetts 01965; we believe that the property is suitable for the foreseeable future. We also lease offices in Palm Beach, Florida, Sydney, Australia, London, England, Hong Kong and Dubai, United Arab Emirates. In addition, each of our Affiliates leases office space in the city or cities in which it conducts business.</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From time to time, we and our Affiliates may be parties to various claims, suits and complaints. Currently, there are no such claims, suits or complaints that, in our opinion, would have a material adverse effect on our financial position, liquidity or results of operations.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common stock is traded on the New York Stock Exchange (symbol: AMG). The following table sets forth the high and low prices as reported on the New York Stock Exchange composite tape since January 1, 2010 for the periods indicated.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81.43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60.55</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58.08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77.93</w:t>
            </w:r>
          </w:p>
        </w:tc>
      </w:tr>
      <w:tr>
        <w:trPr>
          <w:trHeight w:val="430"/>
        </w:trPr>
        <w:tc>
          <w:tcPr>
            <w:tcW w:w="63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93.38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75.71</w:t>
            </w: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70.27</w:t>
            </w:r>
          </w:p>
        </w:tc>
      </w:tr>
    </w:tbl>
    <w:p>
      <w:pPr>
        <w:spacing w:after="0" w:line="20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closing price for a share of our common stock as reported on the New York Stock Exchange composite tape on February 16, 2012 was $106.95. As of February 16, 2012, there were 25 stockholders of record.</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have not declared a cash dividend with respect to the periods presented. We do not anticipate paying cash dividends on our common stock as we intend to retain earnings to finance investments in new Affiliates, repay indebtedness, pay interest and income taxes, repurchase debt securities and shares of our common stock when appropriate, and develop our existing business. Furthermore, our credit facility contains limitations on cash dividends.</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did not repurchase any shares of our common stock during the first and second quarters of 2011. Our share repurchase activity during the third and fourth quarters is presented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Under 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7"/>
              </w:rPr>
              <w:t>Paid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6"/>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5"/>
                <w:szCs w:val="15"/>
                <w:color w:val="auto"/>
              </w:rPr>
            </w:pPr>
          </w:p>
        </w:tc>
        <w:tc>
          <w:tcPr>
            <w:tcW w:w="148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0"/>
              </w:rPr>
              <w:t>Programs</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Quarter Ended September 30, 2011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July 1-31, 2011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1,584,706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1-31, 2011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September 1-30, 2011</w:t>
            </w:r>
          </w:p>
        </w:tc>
        <w:tc>
          <w:tcPr>
            <w:tcW w:w="960" w:type="dxa"/>
            <w:vAlign w:val="bottom"/>
          </w:tcPr>
          <w:p>
            <w:pPr>
              <w:jc w:val="right"/>
              <w:spacing w:after="0"/>
              <w:rPr>
                <w:sz w:val="20"/>
                <w:szCs w:val="20"/>
                <w:color w:val="auto"/>
              </w:rPr>
            </w:pPr>
            <w:r>
              <w:rPr>
                <w:rFonts w:ascii="Arial" w:cs="Arial" w:eastAsia="Arial" w:hAnsi="Arial"/>
                <w:sz w:val="18"/>
                <w:szCs w:val="18"/>
                <w:color w:val="auto"/>
              </w:rPr>
              <w:t>295,800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295,800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976,306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608,400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Quarter Ended December 31, 2011</w:t>
            </w: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10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1-31, 2011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2,966,306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November 1-30, 2011</w:t>
            </w:r>
          </w:p>
        </w:tc>
        <w:tc>
          <w:tcPr>
            <w:tcW w:w="960" w:type="dxa"/>
            <w:vAlign w:val="bottom"/>
          </w:tcPr>
          <w:p>
            <w:pPr>
              <w:jc w:val="right"/>
              <w:spacing w:after="0"/>
              <w:rPr>
                <w:sz w:val="20"/>
                <w:szCs w:val="20"/>
                <w:color w:val="auto"/>
              </w:rPr>
            </w:pPr>
            <w:r>
              <w:rPr>
                <w:rFonts w:ascii="Arial" w:cs="Arial" w:eastAsia="Arial" w:hAnsi="Arial"/>
                <w:sz w:val="18"/>
                <w:szCs w:val="18"/>
                <w:color w:val="auto"/>
              </w:rPr>
              <w:t>35,924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35,924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2,930,382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1-31, 2011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2,855,472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gridSpan w:val="3"/>
            <w:vMerge w:val="restart"/>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87.21</w:t>
            </w: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120,834</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729,234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2,855,472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00" w:hanging="531"/>
        <w:spacing w:after="0" w:line="256"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2007, July 2010 and October 2011, the Board of Directors approved share repurchase programs authorizing us to repurchase up to 3.0 million, 0.5 million and 2.0 million shares, respectively, of our common stock. As of December 31, 2011, 2.9 million shares remain available for repurchase under these programs, which do not expire. Purchases may be made from time to time, at management's discretion.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graph compares the cumulative stockholder return on our common stock from November 21, 1997, the date of our initial public offering, through December 31, 2011, with the cumulative total return, during the same period, on the Standard &amp; Poor's 500 Index, the Standard &amp; Poor's 500 Financial Sector Index and a peer group comprised of AllianceBernstein Holding L.P., Ameriprise Financial, Inc., BlackRock, Inc., Eaton Vance Corp., Federated Investors, Inc., Franklin Resources, Inc., Invesco Ltd., Janus Capital Group Inc., Legg Mason, Inc., T. Rowe Price Group, Inc. and Waddell &amp; Reed Financial, Inc. ("New Peer Group"). Previously our peer group also included GAMCO Investors, Inc. and did not include AllianceBernstein Holding L.P., Ameriprise Financial, Inc., Invesco Ltd. and Legg Mason, Inc. The comparison assumes the investment of $100 on November 21, 1997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114935</wp:posOffset>
            </wp:positionV>
            <wp:extent cx="5539740" cy="342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9740"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Set forth below are selected financial data for the last five years. This data should be read in conjunction with, and is qualified in its entirety by reference to, the Consolidated Financial Statements and accompanying notes included elsewhere in this Annual Report on Form 10-K.</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86"/>
              </w:rPr>
              <w:t>For the Years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10"/>
          </w:tcPr>
          <w:p>
            <w:pPr>
              <w:jc w:val="center"/>
              <w:ind w:right="80"/>
              <w:spacing w:after="0" w:line="142" w:lineRule="exact"/>
              <w:rPr>
                <w:sz w:val="20"/>
                <w:szCs w:val="20"/>
                <w:color w:val="auto"/>
              </w:rPr>
            </w:pPr>
            <w:r>
              <w:rPr>
                <w:rFonts w:ascii="Arial" w:cs="Arial" w:eastAsia="Arial" w:hAnsi="Arial"/>
                <w:sz w:val="14"/>
                <w:szCs w:val="14"/>
                <w:b w:val="1"/>
                <w:bCs w:val="1"/>
                <w:i w:val="1"/>
                <w:iCs w:val="1"/>
                <w:color w:val="auto"/>
                <w:w w:val="83"/>
              </w:rPr>
              <w:t>(in millions, except as noted and per share data)</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Assets under Management </w:t>
            </w:r>
            <w:r>
              <w:rPr>
                <w:rFonts w:ascii="Arial" w:cs="Arial" w:eastAsia="Arial" w:hAnsi="Arial"/>
                <w:sz w:val="18"/>
                <w:szCs w:val="18"/>
                <w:color w:val="auto"/>
              </w:rPr>
              <w:t>(at period end) (in billions)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Statement of Income Data</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1,369.9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(controlling interest)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Earnings (loss) per share—diluted</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Cash flow from (used in):</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(973.8)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w:t>
            </w:r>
          </w:p>
        </w:tc>
      </w:tr>
      <w:tr>
        <w:trPr>
          <w:trHeight w:val="257"/>
        </w:trPr>
        <w:tc>
          <w:tcPr>
            <w:tcW w:w="20" w:type="dxa"/>
            <w:vAlign w:val="bottom"/>
          </w:tcPr>
          <w:p>
            <w:pPr>
              <w:spacing w:after="0"/>
              <w:rPr>
                <w:sz w:val="22"/>
                <w:szCs w:val="22"/>
                <w:color w:val="auto"/>
              </w:rPr>
            </w:pPr>
          </w:p>
        </w:tc>
        <w:tc>
          <w:tcPr>
            <w:tcW w:w="466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471.3</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Economic net income</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60" w:type="dxa"/>
            <w:vAlign w:val="bottom"/>
            <w:gridSpan w:val="2"/>
          </w:tcPr>
          <w:p>
            <w:pPr>
              <w:spacing w:after="0" w:line="256" w:lineRule="exact"/>
              <w:rPr>
                <w:sz w:val="20"/>
                <w:szCs w:val="20"/>
                <w:color w:val="auto"/>
              </w:rPr>
            </w:pPr>
            <w:r>
              <w:rPr>
                <w:rFonts w:ascii="Arial" w:cs="Arial" w:eastAsia="Arial" w:hAnsi="Arial"/>
                <w:sz w:val="18"/>
                <w:szCs w:val="18"/>
                <w:color w:val="auto"/>
              </w:rPr>
              <w:t>Economic earnings per share</w:t>
            </w:r>
            <w:r>
              <w:rPr>
                <w:rFonts w:ascii="Arial" w:cs="Arial" w:eastAsia="Arial" w:hAnsi="Arial"/>
                <w:sz w:val="29"/>
                <w:szCs w:val="29"/>
                <w:color w:val="auto"/>
                <w:vertAlign w:val="superscript"/>
              </w:rPr>
              <w:t>(2)(3)</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660" w:type="dxa"/>
            <w:vAlign w:val="bottom"/>
            <w:gridSpan w:val="2"/>
          </w:tcPr>
          <w:p>
            <w:pPr>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3,373.8</w:t>
            </w:r>
          </w:p>
        </w:tc>
        <w:tc>
          <w:tcPr>
            <w:tcW w:w="8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3,212.7</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3,390.9</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5,279.8</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5,218.9</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Long-term debt</w:t>
            </w:r>
            <w:r>
              <w:rPr>
                <w:rFonts w:ascii="Arial" w:cs="Arial" w:eastAsia="Arial" w:hAnsi="Arial"/>
                <w:sz w:val="29"/>
                <w:szCs w:val="29"/>
                <w:color w:val="auto"/>
                <w:vertAlign w:val="superscript"/>
              </w:rPr>
              <w:t>(5)</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1,746.2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1,184.1</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1,392.0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1,198.2</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60" w:type="dxa"/>
            <w:vAlign w:val="bottom"/>
            <w:gridSpan w:val="2"/>
          </w:tcPr>
          <w:p>
            <w:pPr>
              <w:spacing w:after="0" w:line="256" w:lineRule="exact"/>
              <w:rPr>
                <w:sz w:val="20"/>
                <w:szCs w:val="20"/>
                <w:color w:val="auto"/>
              </w:rPr>
            </w:pPr>
            <w:r>
              <w:rPr>
                <w:rFonts w:ascii="Arial" w:cs="Arial" w:eastAsia="Arial" w:hAnsi="Arial"/>
                <w:sz w:val="18"/>
                <w:szCs w:val="18"/>
                <w:color w:val="auto"/>
              </w:rPr>
              <w:t>Redeemable non-controlling interest</w:t>
            </w:r>
            <w:r>
              <w:rPr>
                <w:rFonts w:ascii="Arial" w:cs="Arial" w:eastAsia="Arial" w:hAnsi="Arial"/>
                <w:sz w:val="29"/>
                <w:szCs w:val="29"/>
                <w:color w:val="auto"/>
                <w:vertAlign w:val="superscript"/>
              </w:rPr>
              <w:t>(6)</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451.8</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Stockholders' equity</w:t>
            </w:r>
            <w:r>
              <w:rPr>
                <w:rFonts w:ascii="Arial" w:cs="Arial" w:eastAsia="Arial" w:hAnsi="Arial"/>
                <w:sz w:val="29"/>
                <w:szCs w:val="29"/>
                <w:color w:val="auto"/>
                <w:vertAlign w:val="superscript"/>
              </w:rPr>
              <w:t>(7)</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1,109.7</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1,800.0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1,866.0</w:t>
            </w:r>
          </w:p>
        </w:tc>
        <w:tc>
          <w:tcPr>
            <w:tcW w:w="160" w:type="dxa"/>
            <w:vAlign w:val="bottom"/>
            <w:shd w:val="clear" w:color="auto" w:fill="CCEEFF"/>
          </w:tcPr>
          <w:p>
            <w:pPr>
              <w:spacing w:after="0"/>
              <w:rPr>
                <w:sz w:val="22"/>
                <w:szCs w:val="22"/>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6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including a reconciliation to cash flow from operations, is discussed in greater detail in "Supplemental Liquidity Measure" on page 30.</w:t>
      </w:r>
    </w:p>
    <w:p>
      <w:pPr>
        <w:spacing w:after="0" w:line="212" w:lineRule="exact"/>
        <w:rPr>
          <w:rFonts w:ascii="Arial" w:cs="Arial" w:eastAsia="Arial" w:hAnsi="Arial"/>
          <w:sz w:val="18"/>
          <w:szCs w:val="18"/>
          <w:color w:val="auto"/>
        </w:rPr>
      </w:pPr>
    </w:p>
    <w:p>
      <w:pPr>
        <w:ind w:left="1680" w:right="900" w:hanging="531"/>
        <w:spacing w:after="0" w:line="332"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 net income, including a reconciliation of Economic net income to Net income (controlling interest), is discussed in "Management's Discussion and Analysis of Financial Condition and Results of Operations" on page 28.</w:t>
      </w:r>
    </w:p>
    <w:p>
      <w:pPr>
        <w:spacing w:after="0" w:line="139" w:lineRule="exact"/>
        <w:rPr>
          <w:rFonts w:ascii="Arial" w:cs="Arial" w:eastAsia="Arial" w:hAnsi="Arial"/>
          <w:sz w:val="16"/>
          <w:szCs w:val="16"/>
          <w:color w:val="auto"/>
        </w:rPr>
      </w:pPr>
    </w:p>
    <w:p>
      <w:pPr>
        <w:ind w:left="1680" w:right="20"/>
        <w:spacing w:after="0" w:line="254" w:lineRule="auto"/>
        <w:rPr>
          <w:rFonts w:ascii="Arial" w:cs="Arial" w:eastAsia="Arial" w:hAnsi="Arial"/>
          <w:sz w:val="16"/>
          <w:szCs w:val="16"/>
          <w:color w:val="auto"/>
        </w:rPr>
      </w:pPr>
      <w:r>
        <w:rPr>
          <w:rFonts w:ascii="Arial" w:cs="Arial" w:eastAsia="Arial" w:hAnsi="Arial"/>
          <w:sz w:val="18"/>
          <w:szCs w:val="18"/>
          <w:color w:val="auto"/>
        </w:rPr>
        <w:t>In the first quarter of 2010, we modified our Economic net income definition to exclude the effect of imputed interest related to contingent payment arrangements from Net income (controlling interest), and in the fourth quarter of 2010 we further modified the definition to no longer add back Affiliate depreciation to Net income (controlling interest). If we had applied these definition changes to all periods presented above, Economic net income would have been $257.3 million, $218.3 million, $170.4 million and $292.3 million and Economic earnings per share would have been $6.61, $5.40, $4.01 and $5.95 for the years ended December 31, 2007, 2008, 2009 and 2010, respectively.</w:t>
      </w:r>
    </w:p>
    <w:p>
      <w:pPr>
        <w:spacing w:after="0" w:line="211" w:lineRule="exact"/>
        <w:rPr>
          <w:rFonts w:ascii="Arial" w:cs="Arial" w:eastAsia="Arial" w:hAnsi="Arial"/>
          <w:sz w:val="16"/>
          <w:szCs w:val="16"/>
          <w:color w:val="auto"/>
        </w:rPr>
      </w:pPr>
    </w:p>
    <w:p>
      <w:pPr>
        <w:ind w:left="1680" w:right="14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earnings per share is discussed in "Management's Discussion and Analysis of Financial Condition and Results of Operations" on page 28.</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assets have increased as we have made new or additional investments in affiliated investment management firms.</w:t>
      </w:r>
    </w:p>
    <w:p>
      <w:pPr>
        <w:spacing w:after="0" w:line="252" w:lineRule="exact"/>
        <w:rPr>
          <w:rFonts w:ascii="Arial" w:cs="Arial" w:eastAsia="Arial" w:hAnsi="Arial"/>
          <w:sz w:val="18"/>
          <w:szCs w:val="18"/>
          <w:color w:val="auto"/>
        </w:rPr>
      </w:pPr>
    </w:p>
    <w:p>
      <w:pPr>
        <w:ind w:left="1680" w:right="140" w:hanging="531"/>
        <w:spacing w:after="0" w:line="298"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Long-term debt consists of the following: Senior bank debt, zero coupon senior convertible notes, floating rate convertible securities, 2008 senior convertible notes, mandatory convertible securities and junior convertible trust preferred securities. In 2008, we settled approximately $600.0 million of our floating rate convertible securities and our mandatory convertible securities. In 2010, we called our zero coupon senior convertible notes for redemption and all holders elected to convert their notes into shares of common stock.</w:t>
      </w:r>
    </w:p>
    <w:p>
      <w:pPr>
        <w:spacing w:after="0" w:line="180"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current redemption value of the non-controlling interests held in our Affiliates, as described in Note 17 of the Consolidated Financial Statements.</w:t>
      </w:r>
    </w:p>
    <w:p>
      <w:pPr>
        <w:spacing w:after="0" w:line="199" w:lineRule="exact"/>
        <w:rPr>
          <w:rFonts w:ascii="Arial" w:cs="Arial" w:eastAsia="Arial" w:hAnsi="Arial"/>
          <w:sz w:val="18"/>
          <w:szCs w:val="18"/>
          <w:color w:val="auto"/>
        </w:rPr>
      </w:pPr>
    </w:p>
    <w:p>
      <w:pPr>
        <w:ind w:left="1680" w:hanging="531"/>
        <w:spacing w:after="0" w:line="283"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2008, we issued approximately 10.8 million shares of common stock to retire our floating rate convertible securities and our mandatory convertible securities. In 2009, we issued approximately 1.8 million shares under our forward equity sale agreement. In 2010, we issued approximately 5.5 million shares under our forward equity sale agreement, approximately 1.7 million shares for our investment in Aston and approximately 0.9 million shares to settle the conversion of our zero coupon senior convertible notes. In 2011, we repurchased</w:t>
      </w:r>
    </w:p>
    <w:p>
      <w:pPr>
        <w:spacing w:after="0" w:line="2"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8"/>
          <w:szCs w:val="18"/>
          <w:color w:val="auto"/>
        </w:rPr>
        <w:t>0.7 million shares of our common stock.</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When used in this Annual Report on Form 10-K and in our other filings with the Securities and Exchange Commission, in our press releases and in oral statements made with the approval of an executive officer, the words or phrases "will likely result," "are expected to," "will continue," "is anticipated," "may," "intends," "believes," "estimate," "project" or similar expressions are intended to identify "forward-looking statements" within the meaning of the Private Securities Litigation Reform Act of 1995. Such statements are subject to certain risks and uncertainties, including, among others, the following:</w:t>
      </w:r>
    </w:p>
    <w:p>
      <w:pPr>
        <w:spacing w:after="0" w:line="180" w:lineRule="exact"/>
        <w:rPr>
          <w:sz w:val="20"/>
          <w:szCs w:val="20"/>
          <w:color w:val="auto"/>
        </w:rPr>
      </w:pPr>
    </w:p>
    <w:p>
      <w:pPr>
        <w:ind w:left="1080" w:right="12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performance is directly affected by changing conditions in global financial markets generally and in the equity markets particularly, and a decline or a lack of sustained growth in these markets may result in decreased advisory fees or performance fees and a corresponding decline (or lack of growth) in our operating results and in the cash flow distributable to us from our Affiliates;</w:t>
      </w:r>
    </w:p>
    <w:p>
      <w:pPr>
        <w:spacing w:after="0" w:line="187"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cannot be certain that we will be successful in finding or investing in additional investment management firms on favorable terms, that we will be able to consummate announced investments in new investment management firms, or that existing and new Affiliates will have favorable operating results;</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need to raise capital by making long-term or short-term borrowings or by selling shares of our common stock or other securities in order to finance investments in additional investment management firms or additional investments in our existing Affiliates, and we cannot be sure that such capital will be available to us on acceptable terms, if at all;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those certain other factors discussed under the caption "Risk Factors."</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i w:val="1"/>
          <w:iCs w:val="1"/>
          <w:color w:val="auto"/>
        </w:rPr>
        <w:t>These factors could affect our financial performance and cause actual results to differ materially from historical earnings and those presently anticipated and projected.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following executive overview summarizes the significant trends affecting our results of operations and financial condition. This overview and the remainder of this Management's Discussion and Analysis supplements, and should be read in conjunction with, the Consolidated Financial Statements of AMG and its subsidiaries (collectively, the "Company" or "AMG") and the notes thereto contained elsewhere in this Annual Report on Form 10-K.</w:t>
      </w:r>
    </w:p>
    <w:p>
      <w:pPr>
        <w:spacing w:after="0" w:line="16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We are a global asset management company with equity investments in a diverse group of boutique investment management firms (our "Affiliates"). We pursue a growth strategy designed to generate shareholder value through the internal growth of our existing business, additional investments in boutique investment management firms and strategic transactions and relationships designed to enhance our Affiliates' businesses and growth prospects.</w:t>
      </w:r>
    </w:p>
    <w:p>
      <w:pPr>
        <w:spacing w:after="0" w:line="16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Our global distribution strategy combines the resources and scale of a global asset management company with the investment expertise of our boutique Affiliates. We are continuing to invest in our distribution platform worldwide with the addition of new personnel and geographic regions.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our financial highlights for each of the past three years: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as noted and per share data)</w:t>
            </w: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under Management (in billions)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208.0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841.8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1,358.2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1,704.8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(controlling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Earnings per share—diluted</w:t>
            </w: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257"/>
        </w:trPr>
        <w:tc>
          <w:tcPr>
            <w:tcW w:w="20" w:type="dxa"/>
            <w:vAlign w:val="bottom"/>
          </w:tcPr>
          <w:p>
            <w:pPr>
              <w:spacing w:after="0"/>
              <w:rPr>
                <w:sz w:val="22"/>
                <w:szCs w:val="22"/>
                <w:color w:val="auto"/>
              </w:rPr>
            </w:pPr>
          </w:p>
        </w:tc>
        <w:tc>
          <w:tcPr>
            <w:tcW w:w="4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Economic net income</w:t>
            </w:r>
            <w:r>
              <w:rPr>
                <w:rFonts w:ascii="Arial" w:cs="Arial" w:eastAsia="Arial" w:hAnsi="Arial"/>
                <w:sz w:val="29"/>
                <w:szCs w:val="29"/>
                <w:color w:val="auto"/>
                <w:vertAlign w:val="superscript"/>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57"/>
        </w:trPr>
        <w:tc>
          <w:tcPr>
            <w:tcW w:w="20" w:type="dxa"/>
            <w:vAlign w:val="bottom"/>
          </w:tcPr>
          <w:p>
            <w:pPr>
              <w:spacing w:after="0"/>
              <w:rPr>
                <w:sz w:val="22"/>
                <w:szCs w:val="22"/>
                <w:color w:val="auto"/>
              </w:rPr>
            </w:pPr>
          </w:p>
        </w:tc>
        <w:tc>
          <w:tcPr>
            <w:tcW w:w="4660" w:type="dxa"/>
            <w:vAlign w:val="bottom"/>
            <w:gridSpan w:val="2"/>
          </w:tcPr>
          <w:p>
            <w:pPr>
              <w:spacing w:after="0" w:line="256" w:lineRule="exact"/>
              <w:rPr>
                <w:sz w:val="20"/>
                <w:szCs w:val="20"/>
                <w:color w:val="auto"/>
              </w:rPr>
            </w:pPr>
            <w:r>
              <w:rPr>
                <w:rFonts w:ascii="Arial" w:cs="Arial" w:eastAsia="Arial" w:hAnsi="Arial"/>
                <w:sz w:val="18"/>
                <w:szCs w:val="18"/>
                <w:color w:val="auto"/>
              </w:rPr>
              <w:t>Economic earnings per share</w:t>
            </w:r>
            <w:r>
              <w:rPr>
                <w:rFonts w:ascii="Arial" w:cs="Arial" w:eastAsia="Arial" w:hAnsi="Arial"/>
                <w:sz w:val="29"/>
                <w:szCs w:val="29"/>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r>
      <w:tr>
        <w:trPr>
          <w:trHeight w:val="257"/>
        </w:trPr>
        <w:tc>
          <w:tcPr>
            <w:tcW w:w="20" w:type="dxa"/>
            <w:vAlign w:val="bottom"/>
          </w:tcPr>
          <w:p>
            <w:pPr>
              <w:spacing w:after="0"/>
              <w:rPr>
                <w:sz w:val="22"/>
                <w:szCs w:val="22"/>
                <w:color w:val="auto"/>
              </w:rPr>
            </w:pPr>
          </w:p>
        </w:tc>
        <w:tc>
          <w:tcPr>
            <w:tcW w:w="4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net income and Economic earnings per share, including a reconciliation of Economic net income to Net income, is discussed in "Supplemental Performance Measures" on page 28.</w:t>
      </w:r>
    </w:p>
    <w:p>
      <w:pPr>
        <w:spacing w:after="0" w:line="212" w:lineRule="exact"/>
        <w:rPr>
          <w:rFonts w:ascii="Arial" w:cs="Arial" w:eastAsia="Arial" w:hAnsi="Arial"/>
          <w:sz w:val="18"/>
          <w:szCs w:val="18"/>
          <w:color w:val="auto"/>
        </w:rPr>
      </w:pPr>
    </w:p>
    <w:p>
      <w:pPr>
        <w:ind w:left="1680" w:right="14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including a reconciliation to cash flow from operations, is discussed in greater detail in "Supplemental Liquidity Measure" on page 30.</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During the year ended December 31, 2011, the MSCI EAFE decreased 11.7% and the MSCI Emerging Markets decreased 18.2%, while the S&amp;P 500 increased 2.1%. Our total assets under management grew to $327.5 billion at December 31, 2011, an increase of approximately 2% over December 31, 2010. The growth in our assets under management was the result of organic growth of our Affiliates from net client cash flows ($22.9 billion), partially offset by negative investment performance ($15.2 billion).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Diversification of Assets under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the composition of our assets under management:</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December 31, 2009</w:t>
            </w:r>
          </w:p>
        </w:tc>
        <w:tc>
          <w:tcPr>
            <w:tcW w:w="24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6"/>
              </w:rPr>
              <w:t>December 31, 2010</w:t>
            </w:r>
          </w:p>
        </w:tc>
        <w:tc>
          <w:tcPr>
            <w:tcW w:w="22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6"/>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0"/>
              </w:rPr>
              <w:t>Assets under</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
              <w:spacing w:after="0" w:line="129"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0"/>
              </w:rPr>
              <w:t>Assets under</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90"/>
              </w:rPr>
              <w:t>Assets under</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
              <w:spacing w:after="0" w:line="129"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billions)</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Management</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Total</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Management</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Total</w:t>
            </w:r>
          </w:p>
        </w:tc>
        <w:tc>
          <w:tcPr>
            <w:tcW w:w="9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Management</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304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Class: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gridSpan w:val="2"/>
          </w:tcPr>
          <w:p>
            <w:pPr>
              <w:spacing w:after="0" w:line="256" w:lineRule="exact"/>
              <w:rPr>
                <w:sz w:val="20"/>
                <w:szCs w:val="20"/>
                <w:color w:val="auto"/>
              </w:rPr>
            </w:pPr>
            <w:r>
              <w:rPr>
                <w:rFonts w:ascii="Arial" w:cs="Arial" w:eastAsia="Arial" w:hAnsi="Arial"/>
                <w:sz w:val="18"/>
                <w:szCs w:val="18"/>
                <w:color w:val="auto"/>
              </w:rPr>
              <w:t>Equity</w:t>
            </w:r>
            <w:r>
              <w:rPr>
                <w:rFonts w:ascii="Arial" w:cs="Arial" w:eastAsia="Arial" w:hAnsi="Arial"/>
                <w:sz w:val="29"/>
                <w:szCs w:val="29"/>
                <w:color w:val="auto"/>
                <w:vertAlign w:val="superscript"/>
              </w:rPr>
              <w:t>(1)</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153.2</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220.4</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207.9</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Alternative</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040" w:type="dxa"/>
            <w:vAlign w:val="bottom"/>
            <w:gridSpan w:val="3"/>
            <w:vMerge w:val="restart"/>
          </w:tcPr>
          <w:p>
            <w:pPr>
              <w:spacing w:after="0" w:line="324" w:lineRule="exact"/>
              <w:rPr>
                <w:sz w:val="20"/>
                <w:szCs w:val="20"/>
                <w:color w:val="auto"/>
              </w:rPr>
            </w:pPr>
            <w:r>
              <w:rPr>
                <w:rFonts w:ascii="Arial" w:cs="Arial" w:eastAsia="Arial" w:hAnsi="Arial"/>
                <w:sz w:val="18"/>
                <w:szCs w:val="18"/>
                <w:b w:val="1"/>
                <w:bCs w:val="1"/>
                <w:color w:val="auto"/>
              </w:rPr>
              <w:t>Geography:</w:t>
            </w:r>
            <w:r>
              <w:rPr>
                <w:rFonts w:ascii="Arial" w:cs="Arial" w:eastAsia="Arial" w:hAnsi="Arial"/>
                <w:sz w:val="29"/>
                <w:szCs w:val="29"/>
                <w:b w:val="1"/>
                <w:bCs w:val="1"/>
                <w:color w:val="auto"/>
                <w:vertAlign w:val="superscript"/>
              </w:rPr>
              <w:t>(3)</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Global/International</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169.1</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vMerge w:val="continue"/>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320.0</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327.5</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Equity asset class includes equity, balanced and asset allocation products.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Alternative asset class includes private equity, multi-strategy, market neutral equity and hedge products.</w:t>
      </w:r>
    </w:p>
    <w:p>
      <w:pPr>
        <w:spacing w:after="0" w:line="252" w:lineRule="exact"/>
        <w:rPr>
          <w:rFonts w:ascii="Arial" w:cs="Arial" w:eastAsia="Arial" w:hAnsi="Arial"/>
          <w:sz w:val="18"/>
          <w:szCs w:val="18"/>
          <w:color w:val="auto"/>
        </w:rPr>
      </w:pPr>
    </w:p>
    <w:p>
      <w:pPr>
        <w:ind w:left="5620" w:right="2140" w:hanging="4471"/>
        <w:spacing w:after="0" w:line="519" w:lineRule="auto"/>
        <w:tabs>
          <w:tab w:leader="none" w:pos="16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Geography of a particular investment product describes the general location of its investment holdings.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strategic focus on global and emerging market equity and alternative products continues to drive the growth of our business. During the year ended December 31, 2011 we experienced strong organic growth from net client cash flows in our Alternative ($12.8 billion) and Equity asset classes ($7.9 billion). Moderately positive investment performance in the Alternative and Fixed Income asset classes contributed to the growth in 2011, while negative investment performance in the Equity asset class resulted in a 6% decline from 2010.</w:t>
      </w:r>
    </w:p>
    <w:p>
      <w:pPr>
        <w:spacing w:after="0" w:line="167"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As mentioned above, our Global/International products benefited from net client cash flows of $14.7 billion and the Emerging Markets products benefited from net client cash flows of $6.7 billion, partially offset by negative investment performance across all geographic regions.</w:t>
      </w:r>
    </w:p>
    <w:p>
      <w:pPr>
        <w:spacing w:after="0" w:line="13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assets under management increased significantly during the year ended December 31, 2010, in large part, as a result of new Affiliate investments in Artemis, Aston, Pantheon and Trilogy. The investments in Pantheon, Artemis and Trilogy further diversified our business by increasing our exposure to Alternative, Global/International and Emerging Market product offerings.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 by Operating Segment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tables present a rollforward of our assets under management by operating segment (which are also referred to as distribution channels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High Net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billions)</w:t>
            </w:r>
          </w:p>
        </w:tc>
        <w:tc>
          <w:tcPr>
            <w:tcW w:w="294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Mutual Fund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Institutional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Worth</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Client cash inflows</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vMerge w:val="restart"/>
          </w:tcPr>
          <w:p>
            <w:pPr>
              <w:ind w:left="340"/>
              <w:spacing w:after="0"/>
              <w:rPr>
                <w:sz w:val="20"/>
                <w:szCs w:val="20"/>
                <w:color w:val="auto"/>
              </w:rPr>
            </w:pPr>
            <w:r>
              <w:rPr>
                <w:rFonts w:ascii="Arial" w:cs="Arial" w:eastAsia="Arial" w:hAnsi="Arial"/>
                <w:sz w:val="18"/>
                <w:szCs w:val="18"/>
                <w:color w:val="auto"/>
              </w:rPr>
              <w:t>Net client cash flows</w:t>
            </w:r>
          </w:p>
        </w:tc>
        <w:tc>
          <w:tcPr>
            <w:tcW w:w="2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80" w:type="dxa"/>
            <w:vAlign w:val="bottom"/>
            <w:shd w:val="clear" w:color="auto" w:fill="CCEEFF"/>
          </w:tcPr>
          <w:p>
            <w:pPr>
              <w:ind w:left="160"/>
              <w:spacing w:after="0" w:line="250" w:lineRule="exact"/>
              <w:rPr>
                <w:sz w:val="20"/>
                <w:szCs w:val="20"/>
                <w:color w:val="auto"/>
              </w:rPr>
            </w:pPr>
            <w:r>
              <w:rPr>
                <w:rFonts w:ascii="Arial" w:cs="Arial" w:eastAsia="Arial" w:hAnsi="Arial"/>
                <w:sz w:val="17"/>
                <w:szCs w:val="17"/>
                <w:color w:val="auto"/>
              </w:rPr>
              <w:t>New investments</w:t>
            </w:r>
            <w:r>
              <w:rPr>
                <w:rFonts w:ascii="Arial" w:cs="Arial" w:eastAsia="Arial" w:hAnsi="Arial"/>
                <w:sz w:val="28"/>
                <w:szCs w:val="28"/>
                <w:color w:val="auto"/>
                <w:vertAlign w:val="superscript"/>
              </w:rPr>
              <w:t>(1)</w:t>
            </w:r>
          </w:p>
        </w:tc>
        <w:tc>
          <w:tcPr>
            <w:tcW w:w="2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Investment performance</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December 31, 2009</w:t>
            </w:r>
          </w:p>
        </w:tc>
        <w:tc>
          <w:tcPr>
            <w:tcW w:w="32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0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inflows</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Client cash outflows</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client cash flows</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vMerge w:val="restart"/>
          </w:tcPr>
          <w:p>
            <w:pPr>
              <w:ind w:left="160"/>
              <w:spacing w:after="0" w:line="296" w:lineRule="exact"/>
              <w:rPr>
                <w:sz w:val="20"/>
                <w:szCs w:val="20"/>
                <w:color w:val="auto"/>
              </w:rPr>
            </w:pPr>
            <w:r>
              <w:rPr>
                <w:rFonts w:ascii="Arial" w:cs="Arial" w:eastAsia="Arial" w:hAnsi="Arial"/>
                <w:sz w:val="18"/>
                <w:szCs w:val="18"/>
                <w:color w:val="auto"/>
              </w:rPr>
              <w:t>New investments</w:t>
            </w:r>
            <w:r>
              <w:rPr>
                <w:rFonts w:ascii="Arial" w:cs="Arial" w:eastAsia="Arial" w:hAnsi="Arial"/>
                <w:sz w:val="29"/>
                <w:szCs w:val="29"/>
                <w:color w:val="auto"/>
                <w:vertAlign w:val="superscript"/>
              </w:rPr>
              <w:t>(1)</w:t>
            </w:r>
          </w:p>
        </w:tc>
        <w:tc>
          <w:tcPr>
            <w:tcW w:w="2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8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performance</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380" w:type="dxa"/>
            <w:vAlign w:val="bottom"/>
          </w:tcPr>
          <w:p>
            <w:pPr>
              <w:ind w:left="160"/>
              <w:spacing w:after="0" w:line="28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3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Client cash inflows</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vMerge w:val="restart"/>
          </w:tcPr>
          <w:p>
            <w:pPr>
              <w:ind w:left="340"/>
              <w:spacing w:after="0"/>
              <w:rPr>
                <w:sz w:val="20"/>
                <w:szCs w:val="20"/>
                <w:color w:val="auto"/>
              </w:rPr>
            </w:pPr>
            <w:r>
              <w:rPr>
                <w:rFonts w:ascii="Arial" w:cs="Arial" w:eastAsia="Arial" w:hAnsi="Arial"/>
                <w:sz w:val="18"/>
                <w:szCs w:val="18"/>
                <w:color w:val="auto"/>
              </w:rPr>
              <w:t>Net client cash flows</w:t>
            </w:r>
          </w:p>
        </w:tc>
        <w:tc>
          <w:tcPr>
            <w:tcW w:w="2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performance</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380" w:type="dxa"/>
            <w:vAlign w:val="bottom"/>
          </w:tcPr>
          <w:p>
            <w:pPr>
              <w:ind w:left="160"/>
              <w:spacing w:after="0" w:line="28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3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2009, we completed an investment in Harding Loevner. In 2010, we completed investments in Artemis, Aston, Pantheon and Trilogy.</w:t>
      </w:r>
    </w:p>
    <w:p>
      <w:pPr>
        <w:spacing w:after="0" w:line="275" w:lineRule="exact"/>
        <w:rPr>
          <w:rFonts w:ascii="Arial" w:cs="Arial" w:eastAsia="Arial" w:hAnsi="Arial"/>
          <w:sz w:val="16"/>
          <w:szCs w:val="16"/>
          <w:color w:val="auto"/>
        </w:rPr>
      </w:pPr>
    </w:p>
    <w:p>
      <w:pPr>
        <w:ind w:left="1680" w:right="220" w:hanging="531"/>
        <w:spacing w:after="0" w:line="268"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includes assets under management attributable to Affiliate product transitions and transfers of our interests in certain Affiliated investment management firms, the financial effects of which are not material to our ongoing results.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As shown in the assets under management table above, client cash inflows totaled $81.3 billion while client cash outflows totaled $58.4 billion for the year ended December 31, 2011. The net flows for the year ended December 31, 2011 occurred across a broad range of product offerings in each of our distribution channels, with no individual cash inflow or outflow having a material impact on our revenue or expenses.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operating segment analysis presented in the following table is based on average assets under management. For the Mutual Fund distribution channel, average assets under management represent an average of the daily net assets under management. For the Institutional and High Net Worth distribution channels, average assets under management reflect the billing patterns of particular client accounts. For example, assets under management for an account that bills in advance is presented in the table on the basis of beginning of period assets under management while an account that bills in arrears is reflected on the basis of end of period assets under management. We believe that this analysis more closely correlates to the billing cycle of each distribution channel and, as such, provides a more meaningful relationship to revenue.</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as noted)</w:t>
            </w:r>
          </w:p>
        </w:tc>
        <w:tc>
          <w:tcPr>
            <w:tcW w:w="12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Average Assets under Management (in billions)</w:t>
            </w:r>
            <w:r>
              <w:rPr>
                <w:rFonts w:ascii="Arial" w:cs="Arial" w:eastAsia="Arial" w:hAnsi="Arial"/>
                <w:sz w:val="28"/>
                <w:szCs w:val="28"/>
                <w:b w:val="1"/>
                <w:bCs w:val="1"/>
                <w:color w:val="auto"/>
                <w:vertAlign w:val="superscript"/>
              </w:rPr>
              <w:t>(1)</w:t>
            </w: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86.9</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841.4</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1,358.2</w:t>
            </w:r>
          </w:p>
        </w:tc>
        <w:tc>
          <w:tcPr>
            <w:tcW w:w="1080" w:type="dxa"/>
            <w:vAlign w:val="bottom"/>
            <w:gridSpan w:val="3"/>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1,704.8</w:t>
            </w:r>
          </w:p>
        </w:tc>
        <w:tc>
          <w:tcPr>
            <w:tcW w:w="11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Net income (controlling interest)</w:t>
            </w:r>
            <w:r>
              <w:rPr>
                <w:rFonts w:ascii="Arial" w:cs="Arial" w:eastAsia="Arial" w:hAnsi="Arial"/>
                <w:sz w:val="27"/>
                <w:szCs w:val="27"/>
                <w:b w:val="1"/>
                <w:bCs w:val="1"/>
                <w:color w:val="auto"/>
                <w:vertAlign w:val="superscript"/>
              </w:rPr>
              <w:t>(2)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tcPr>
          <w:p>
            <w:pPr>
              <w:spacing w:after="0" w:line="256" w:lineRule="exact"/>
              <w:rPr>
                <w:sz w:val="20"/>
                <w:szCs w:val="20"/>
                <w:color w:val="auto"/>
              </w:rPr>
            </w:pPr>
            <w:r>
              <w:rPr>
                <w:rFonts w:ascii="Arial" w:cs="Arial" w:eastAsia="Arial" w:hAnsi="Arial"/>
                <w:sz w:val="18"/>
                <w:szCs w:val="18"/>
                <w:color w:val="auto"/>
              </w:rPr>
              <w:t>Mutual Fund</w:t>
            </w:r>
            <w:r>
              <w:rPr>
                <w:rFonts w:ascii="Arial" w:cs="Arial" w:eastAsia="Arial" w:hAnsi="Arial"/>
                <w:sz w:val="29"/>
                <w:szCs w:val="29"/>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60" w:type="dxa"/>
            <w:vAlign w:val="bottom"/>
            <w:gridSpan w:val="2"/>
          </w:tcPr>
          <w:p>
            <w:pPr>
              <w:spacing w:after="0" w:line="284" w:lineRule="exact"/>
              <w:rPr>
                <w:sz w:val="20"/>
                <w:szCs w:val="20"/>
                <w:color w:val="auto"/>
              </w:rPr>
            </w:pPr>
            <w:r>
              <w:rPr>
                <w:rFonts w:ascii="Arial" w:cs="Arial" w:eastAsia="Arial" w:hAnsi="Arial"/>
                <w:sz w:val="18"/>
                <w:szCs w:val="18"/>
                <w:color w:val="auto"/>
              </w:rPr>
              <w:t>High Net Worth</w:t>
            </w:r>
            <w:r>
              <w:rPr>
                <w:rFonts w:ascii="Arial" w:cs="Arial" w:eastAsia="Arial" w:hAnsi="Arial"/>
                <w:sz w:val="29"/>
                <w:szCs w:val="29"/>
                <w:color w:val="auto"/>
                <w:vertAlign w:val="superscript"/>
              </w:rPr>
              <w:t>(4)</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580" w:type="dxa"/>
            <w:vAlign w:val="bottom"/>
            <w:gridSpan w:val="3"/>
            <w:vMerge w:val="restart"/>
          </w:tcPr>
          <w:p>
            <w:pPr>
              <w:spacing w:after="0" w:line="324" w:lineRule="exact"/>
              <w:rPr>
                <w:sz w:val="20"/>
                <w:szCs w:val="20"/>
                <w:color w:val="auto"/>
              </w:rPr>
            </w:pPr>
            <w:r>
              <w:rPr>
                <w:rFonts w:ascii="Arial" w:cs="Arial" w:eastAsia="Arial" w:hAnsi="Arial"/>
                <w:sz w:val="18"/>
                <w:szCs w:val="18"/>
                <w:b w:val="1"/>
                <w:bCs w:val="1"/>
                <w:color w:val="auto"/>
              </w:rPr>
              <w:t>EBITDA</w:t>
            </w:r>
            <w:r>
              <w:rPr>
                <w:rFonts w:ascii="Arial" w:cs="Arial" w:eastAsia="Arial" w:hAnsi="Arial"/>
                <w:sz w:val="29"/>
                <w:szCs w:val="29"/>
                <w:b w:val="1"/>
                <w:bCs w:val="1"/>
                <w:color w:val="auto"/>
                <w:vertAlign w:val="superscript"/>
              </w:rPr>
              <w:t>(5)</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288.3</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High Net Worth</w:t>
            </w:r>
            <w:r>
              <w:rPr>
                <w:rFonts w:ascii="Arial" w:cs="Arial" w:eastAsia="Arial" w:hAnsi="Arial"/>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080" w:type="dxa"/>
            <w:vAlign w:val="bottom"/>
            <w:gridSpan w:val="3"/>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1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00" w:hanging="531"/>
        <w:spacing w:after="0" w:line="298"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described above, our average assets under management considers balances used to bill revenue during the reporting period. These amounts include assets managed by firms accounted for under the equity method ($47.5 billion, $60.7 billion and $79.9 billion for 2009, 2010 and 2011, respectively). Assets under management attributable to any investment in new Affiliates are included on a weighted average basis for the period from the closing date of the respective investment.</w:t>
      </w:r>
    </w:p>
    <w:p>
      <w:pPr>
        <w:spacing w:after="0" w:line="193" w:lineRule="exact"/>
        <w:rPr>
          <w:rFonts w:ascii="Arial" w:cs="Arial" w:eastAsia="Arial" w:hAnsi="Arial"/>
          <w:sz w:val="16"/>
          <w:szCs w:val="16"/>
          <w:color w:val="auto"/>
        </w:rPr>
      </w:pPr>
    </w:p>
    <w:p>
      <w:pPr>
        <w:ind w:left="1680" w:right="160" w:hanging="531"/>
        <w:spacing w:after="0" w:line="286" w:lineRule="auto"/>
        <w:tabs>
          <w:tab w:leader="none" w:pos="1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2011, we changed our estimate of payments to be made under certain of our contingent payment arrangements and recognized a gain totaling $4.8 million ($3.1 million of which is attributable to the controlling interest). This gain was allocated $0.2 million and</w:t>
      </w:r>
    </w:p>
    <w:p>
      <w:pPr>
        <w:ind w:left="1680"/>
        <w:spacing w:after="0"/>
        <w:rPr>
          <w:rFonts w:ascii="Arial" w:cs="Arial" w:eastAsia="Arial" w:hAnsi="Arial"/>
          <w:sz w:val="16"/>
          <w:szCs w:val="16"/>
          <w:color w:val="auto"/>
        </w:rPr>
      </w:pPr>
      <w:r>
        <w:rPr>
          <w:rFonts w:ascii="Arial" w:cs="Arial" w:eastAsia="Arial" w:hAnsi="Arial"/>
          <w:sz w:val="18"/>
          <w:szCs w:val="18"/>
          <w:color w:val="auto"/>
        </w:rPr>
        <w:t>$4.6 million to our Mutual Fund and Institutional channels, respectively.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2011, we recorded a $9.2 million expense associated with the revaluation of Indefinite-lived intangible assets.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During 2011, we determined that the value of a cost method investment had been reduced to zero, and recorded a $12.8 million expense.</w:t>
      </w:r>
    </w:p>
    <w:p>
      <w:pPr>
        <w:spacing w:after="0" w:line="273" w:lineRule="exact"/>
        <w:rPr>
          <w:rFonts w:ascii="Arial" w:cs="Arial" w:eastAsia="Arial" w:hAnsi="Arial"/>
          <w:sz w:val="15"/>
          <w:szCs w:val="15"/>
          <w:color w:val="auto"/>
        </w:rPr>
      </w:pPr>
    </w:p>
    <w:p>
      <w:pPr>
        <w:ind w:left="1680" w:right="10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including a reconciliation to cash flow from operations, is discussed in greater detail in "Supplemental Liquidity Measure" on page 30.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revenue is generally determined by the level of our average assets under management, the portion of our assets across our products and three operating segments, which realize different fee rates, and the recognition of any performance fees. Performance fees are generally measured on absolute or relative investment performance against a benchmark. As a result, the level of performance fees earned can vary significantly from period to period and these fees may not necessarily be correlated to changes in assets under management.</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revenue increased $346.6 million (or 26%) in 2011 from 2010, primarily from a 31% increase in average assets under management, partially offset by a decline in performance fees from our consolidated Affiliates. This increase in average assets under management resulted from our 2010 investments in new Affiliates and net client cash flows, partially offset by a decline in global equity markets during 2011. Unrelated to the change in assets under management, consolidated performance fees declined $27.5 million to $30.9 million (or 47%) in 2011, as compared to 2010.</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revenue increased $516.4 million (or 61%) in 2010 from 2009, primarily as a result of a 40% increase in average assets under management and our investments in new Affiliates that realize comparatively higher fee rates. The increase in average assets under management resulted principally from our new Affiliate investments, strong investment performance and positive net client cash flows. Unrelated to the change in assets under management, consolidated performance fee revenue increased $35.4 million to $58.4 million (or 154%) for the year ended December 31, 2010 as compared to the year ended December 31, 2009.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discusses the changes in our revenue by operating segments.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Mutual Fund Distribution Channel</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increase in revenue of $144.9 million (or 25%) in the Mutual Fund distribution channel in 2011 from 2010 resulted primarily from a 33% increase in average assets under management. The increase in average assets under management resulted principally from our 2010 investments in new Affiliates and net client cash flows, partially offset by a decline in global equity markets during 2011.</w:t>
      </w:r>
    </w:p>
    <w:p>
      <w:pPr>
        <w:spacing w:after="0" w:line="19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increase in revenue of $265.6 million (or 85%) in the Mutual Fund distribution channel in 2010 from 2009 resulted from a 75% increase in average assets under management. The increase in average assets under management resulted principally from our investments in new Affiliates, strong investment performance and positive net client cash flows.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Institutional Distribution Channel</w:t>
      </w:r>
    </w:p>
    <w:p>
      <w:pPr>
        <w:spacing w:after="0" w:line="225"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increase in revenue of $192.2 million (or 30%) in the Institutional distribution channel in 2011 from 2010 resulted primarily from a 33% increase in average assets under management, partially offset by a decline in performance fees from our consolidated Affiliates. The increase in average assets under management resulted principally from our 2010 investments in new Affiliates and net client cash flows, partially offset by a decline in global equity markets during 2011. Unrelated to the change in assets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management, consolidated performance fee revenue decreased $25.9 million to $30.7 million (or 46%) for the year ended December 31, 2011 as compared to the year ended December 31, 2010.</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increase in revenue of $233.6 million (or 56%) in the Institutional distribution channel in 2010 from 2009 resulted principally from a 35% increase in average assets under management and our investments in new Affiliates that realize comparatively higher fee rates. The increase in average assets under management resulted principally from our new Affiliate investments, strong investment performance and positive net client cash flows. Unrelated to the change in assets under management, consolidated performance fee revenue increased $34.2 million to $56.6 million (or 153%) for the year ended December 31, 2010 as compared to the year ended December 31, 2009.</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High Net Worth Distribution Channel</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increase in revenue of $9.5 million (or 7%) in the High Net Worth distribution channel in 2011 from 2010 resulted principally from a 15% increase in average assets under management. The increase in average assets under management resulted principally from 2010 investment performance and net client cash flows in both 2010 and 2011.</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increase in revenue of $17.2 million (or 15%) in the High Net Worth distribution channel in 2010 from 2009 resulted principally from a 17% increase in average assets under management. The increase in average assets under management resulted principally from investment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consolidated operating expenses: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284.6</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 and other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984.2</w:t>
            </w:r>
          </w:p>
        </w:tc>
        <w:tc>
          <w:tcPr>
            <w:tcW w:w="1080" w:type="dxa"/>
            <w:vAlign w:val="bottom"/>
            <w:gridSpan w:val="3"/>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1,218.7</w:t>
            </w: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substantial portion of our operating expenses is incurred by our Affiliates, the majority of which is incurred by Affiliates with revenue sharing arrangements. For Affiliates with revenue sharing arrangements, an Affiliate's Operating Allocation percentage generally determines its operating expenses. Accordingly, our compensation expense is generally impacted by increases or decreases in each Affiliate's revenue and the corresponding increases or decreases in their respective Operating Allocations. During 2011, approximately $359.6 million, or about 50.0% of our consolidated compensation expense, was attributable to our Affiliate partners from their Operating Allocations. The percentage of revenue allocated to operating expenses varies from one Affiliate to another and may vary within an Affiliate depending on the source or amount of revenue. As a result, changes in our aggregate revenue may not impact our consolidated operating expenses to the same degree.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Compensation and related expenses increased $124.3 million (or 21%) in 2011, as compared to 2010. This increase was attributable to increases in aggregate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Affiliate expenses of $74.4 million from new Affiliate investments in 2010, and also a result of the relationship between revenue and operating expenses at extant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Affiliates which experienced increases in revenue, and accordingly, reported higher compensation expenses.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Compensation and related expenses increased $191.9 million (or 48%) in 2010. The increase was attributable to increases in aggregate Affiliate expenses of $84.9 million from new Affiliate investments, and $81.2 million from the relationship between revenue and operating expenses at extant Affiliates, which experienced increases in revenue, and accordingly, reported higher compensation expenses. This increase was also attributable to increases in holding company incentive and share-based compensation, as compared to 2009.</w:t>
      </w:r>
    </w:p>
    <w:p>
      <w:pPr>
        <w:spacing w:after="0" w:line="197" w:lineRule="exact"/>
        <w:rPr>
          <w:sz w:val="20"/>
          <w:szCs w:val="20"/>
          <w:color w:val="auto"/>
        </w:rPr>
      </w:pPr>
    </w:p>
    <w:p>
      <w:pPr>
        <w:ind w:right="540" w:firstLine="351"/>
        <w:spacing w:after="0" w:line="256" w:lineRule="auto"/>
        <w:rPr>
          <w:sz w:val="20"/>
          <w:szCs w:val="20"/>
          <w:color w:val="auto"/>
        </w:rPr>
      </w:pPr>
      <w:r>
        <w:rPr>
          <w:rFonts w:ascii="Arial" w:cs="Arial" w:eastAsia="Arial" w:hAnsi="Arial"/>
          <w:sz w:val="18"/>
          <w:szCs w:val="18"/>
          <w:color w:val="auto"/>
        </w:rPr>
        <w:t>Selling, general and administrative expenses increased $66.2 million (or 23%) in 2011. This increase was a result of increases in Affiliate expenses of $48.9 million in 2011 from new Affiliate investments in 2010. This increase was also attributable to increases in sub-advisory and distribution expenses attributable to increases in assets under management at our Affiliates in the Mutual Fund distribution channel. These increases were partially offset by a $13.5 million decrease in acquisition-related professional fees, as compared to 2010.</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Selling, general and administrative expenses increased $157.8 million (or 124%) in 2010. This increase resulted principally from increases in aggregate Affiliate expenses of $119.2 million from new Affiliate investments. This increase also resulted from a $10.3 million increase in acquisition-related professional fees, as compared to 2009.</w:t>
      </w:r>
    </w:p>
    <w:p>
      <w:pPr>
        <w:spacing w:after="0" w:line="194"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Amortization of intangible assets increased $37.7 million (or 63%) in 2011 and $27.1 million (or 82%) in 2010, principally attributable to increases in definite-lived intangible assets resulting from new Affiliate investments in 2010. The increase in 2011 is also the result of a $9.2 million expense associated with the revaluation of Indefinite-lived intangible assets at one of our Affiliates.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Depreciation and other amortization increased $0.9 million (or 6%) in 2011, as compared to 2010, principally attributable to a $1.3 million increase in aggregate Affiliate expenses from new Affiliate investments in 2010. Depreciation and other amortization increased $1.4 million (or 11%) in 2010, principally attributable to a $2.1 million increase in aggregate Affiliate expenses from new Affiliate investments. This increase was partially offset by decreases in spending on depreciable assets in recent periods.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Other operating expenses increased $5.4 million (or 17%) in 2011, as compared to 2010, principally attributable to an increase in aggregate Affiliate expenses of $5.5 million from new Affiliate investments in 2010, as well as an increase in costs associated with our global distribution initiatives. These increases were partially offset by a $2.5 million loss realized on the transfer of Affiliate interests in 2010, which did not recur in 2011. Other operating expenses increased $4.1 million (or 15%) in 2010, principally attributable to a $6.1 million increase in aggregate Affiliate expenses from new Affiliate investments, partially offset by a decrease in losses realized on transfers of Affiliate interests in 2010, as compared to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Statement Data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non-operating income and expense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ind w:left="11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method investments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and other income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2"/>
              </w:rPr>
              <w:t>Investment income (loss) from Affiliate investments in partnerships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5"/>
              </w:rPr>
              <w:t>Imputed interest expense and contingent payment arrangements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9"/>
                <w:szCs w:val="19"/>
                <w:color w:val="auto"/>
              </w:rPr>
            </w:pPr>
          </w:p>
        </w:tc>
      </w:tr>
      <w:tr>
        <w:trPr>
          <w:trHeight w:val="424"/>
        </w:trPr>
        <w:tc>
          <w:tcPr>
            <w:tcW w:w="6080" w:type="dxa"/>
            <w:vAlign w:val="bottom"/>
            <w:gridSpan w:val="2"/>
          </w:tcPr>
          <w:p>
            <w:pPr>
              <w:jc w:val="right"/>
              <w:ind w:right="192"/>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Income from equity method investments consists of our share of income from Affiliates that are accounted for under the equity method of accounting, net of any related intangible amortization. Income from equity method investments decreased $4.8 million (or 6%) in 2011, principally as a result of a $101.8 million decrease in performance fees (to $177.1 million). This decrease was partially offset by increases in revenue resulting from higher assets under management. Income from equity method investments increased $45.9 million (or 145%) in 2010, principally as a result of a $158.4 million increase in performance fees (to $278.9 million).</w:t>
      </w:r>
    </w:p>
    <w:p>
      <w:pPr>
        <w:spacing w:after="0" w:line="197"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Investment and other income (loss) decreased $27.9 million (or 122%) in 2011, as compared to 2010, principally as a result of increases in Affiliate investment losses. This decrease also resulted from the write-off of a cost method investment during 2011 ($12.8 million). Investment and other income (loss) decreased $2.0 million (or 8%) in 2010, principally as a result of a $7.5 million gain on the settlement of a contingent payment in 2009, partially offset by a $4.0 million increase in Investment and other income (loss) from new Affiliates, as well as increases in investment earnings.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Investment income (loss) from Affiliate investments in partnerships relates to the consolidation of certain investment partnerships in which our Affiliates are the general partner. In the third quarter of 2010, we deconsolidated these partnerships. For 2010, the loss from Affiliate investments in partnerships was $4.5 million. This loss was principally attributable to investors who are unrelated to 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increased $7.6 million (or 11%) in 2011, principally as a result of an increase in the cost of borrowings under our revolving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also attributable to a $0.8 million increase in issuance costs related to the credit facility amendment that occurred in the first quarter of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$1.6 million (or 2%) in 2010, principally as a result of increased borrowings under our revolving credit facility.</w:t>
      </w:r>
    </w:p>
    <w:p>
      <w:pPr>
        <w:spacing w:after="0" w:line="21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Imputed interest expense and contingent payment arrangements consists of interest accretion on our senior convertible securities and our junior convertible trust preferred securities, as well as the accretion and revaluation of our contingent payment arrangements. Imputed interest expense and contingent payment arrangements increased $2.4 million (or 10%) in 2011 as compared to 2010, principally as a result of a $6.7 million increase in accretion related to our contingent payment arrangements partially offset by a $4.8 million gain on revaluation. Imputed interest expense and contingent payment arrangements increased $11.4 million (or 84%) in 2010, principally as a result of a $9.9 million increase in accretion related to our contingent payment arrangements.</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Income taxes increased $1.6 million (or 2%) in 2011, as the result of an increase in Income before income taxes, partially offset by a $7.6 million benefit from revaluing certain deferred tax liabilities as a result of a change to corporate tax rates in the United Kingdom.</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Income taxes increased $58.7 million (or 179%) in 2010, as the result of an increase in Income before income taxes and approximately $11.2 million of taxes attributable to non-controlling interests from our 2010 new Affiliate investments. This increase was partially offset by a $4.1 million benefit from revaluing certain deferred tax liabilities as a result of a change to corporate tax rates in the United Kingdom.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Net income for the past three years: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4"/>
              </w:rPr>
              <w:t>Net income (loss) (non-controlling interests in partnerships)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(non-controlling interests)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 (controlling interest)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bl>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income attributable to non-controlling interests increased $41.6 million (or 27%) in 2011. This change resulted principally from the previously discussed changes in revenue. Affiliate equity issuances had the effect of increasing Affiliate equity ownership, and therefore increasing net income attributable to non-controlling interests. These increases were partially offset by increases in amortization, interest expenses, tax expenses and investment losses attributable to non-controlling interests, as compared to 2010. In 2010, Net income attributable to non-controlling interests increased $26.4 million (or 21%). This increase was proportionately less than the increase in revenue as a result of the previously discussed increases in tax expenses. Additionally, Affiliate equity repurchases had the effect of decreasing Affiliate equity ownership, and therefore decreasing the income attributable to non-controlling interests.</w:t>
      </w:r>
    </w:p>
    <w:p>
      <w:pPr>
        <w:spacing w:after="0" w:line="17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Net income (loss) (non-controlling interests in partnerships) relates to the consolidation of certain investment partnerships in which our Affiliates are the general partner. In the third quarter of 2010, we deconsolidated these partnerships. For 2010, the loss from Affiliate investment partnerships attributable to the non-controlling interests was $4.4 million.</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Net income (controlling interest) increased $26.3 million (or 19%) in 2011 as a result of the previously discussed increases in revenue, partially offset by increases in reported operating expenses. Net income (controlling interest) increased $79.1 million (or 133%) in 2010 as a result of the previously discussed increases in revenue and income from equity method investments, partially offset by increases in reported operating and income tax expenses and income attributable to non-controlling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Performance Measures</w:t>
      </w:r>
    </w:p>
    <w:p>
      <w:pPr>
        <w:spacing w:after="0" w:line="225"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supplemental information, we provide non-GAAP performance measures that we refer to as Economic net income and Economic earnings per share. We consider Economic net income an important measure of our financial performance, as we believe it best represents our operating performance before non-cash expenses relating to our acquisition of interests in our investment management firms. Economic net income and Economic earnings per share are used by our management and Board of Directors as our principal performance benchmarks, including as measures for aligning executive compensation with stockholder value. These measures are provided in addition to, but not as a substitute for, Net income (controlling interest) and Earnings per share. Economic net income and Economic earnings per share are not liquidity measures and should not be used in place of any liquidity measure calculated under accounting principles generally accepted in the United States ("GAAP").</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our Economic net income definition, we add to Net income (controlling interest) amortization (including equity method amortization), deferred taxes related to intangible assets, non-cash imputed interest expense (principally related to the accounting for convertible securities and contingent payment arrangements) and Affiliate equity expense. We add back amortization attributable to acquired client relationships because this expense does not correspond to the changes in value of these assets, which do not diminish predictably over time. The portion of deferred taxes generally attributable to intangible assets (including goodwill) that we no longer amortize but which continues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generate tax deductions is added back, because we believe it is unlikely these accruals will be used to settle material tax obligations. We add back non-cash expenses relating to certain transfers of equity between Affiliate management partners, when these transfers have no dilutive effect to our shareholders.</w:t>
      </w:r>
    </w:p>
    <w:p>
      <w:pPr>
        <w:spacing w:after="0" w:line="11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Economic earnings per share represents Economic net income divided by the adjusted diluted average shares outstanding, which measures the potential share issuance from our senior convertible securities and junior convertible securities (each further described in Liquidity and Capital Resources) using a "treasury stock" method. Under this method, only the net number of shares of common stock equal to the value of these securities in excess of par, if any, are deemed to be outstanding. 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reconciliation of Net income (controlling interest) to Economic net income: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(controlling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Intangible amortization</w:t>
            </w:r>
            <w:r>
              <w:rPr>
                <w:rFonts w:ascii="Arial" w:cs="Arial" w:eastAsia="Arial" w:hAnsi="Arial"/>
                <w:sz w:val="29"/>
                <w:szCs w:val="29"/>
                <w:color w:val="auto"/>
                <w:vertAlign w:val="superscript"/>
              </w:rPr>
              <w:t>(1)(2)</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Intangible-related deferred taxes</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Imputed interest and contingent payment arrangements</w:t>
            </w:r>
            <w:r>
              <w:rPr>
                <w:rFonts w:ascii="Arial" w:cs="Arial" w:eastAsia="Arial" w:hAnsi="Arial"/>
                <w:sz w:val="29"/>
                <w:szCs w:val="29"/>
                <w:color w:val="auto"/>
                <w:vertAlign w:val="superscript"/>
              </w:rPr>
              <w:t>(4)(5)</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Affiliate equity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780" w:type="dxa"/>
            <w:vAlign w:val="bottom"/>
            <w:gridSpan w:val="2"/>
          </w:tcPr>
          <w:p>
            <w:pPr>
              <w:ind w:left="160"/>
              <w:spacing w:after="0" w:line="284" w:lineRule="exact"/>
              <w:rPr>
                <w:sz w:val="20"/>
                <w:szCs w:val="20"/>
                <w:color w:val="auto"/>
              </w:rPr>
            </w:pPr>
            <w:r>
              <w:rPr>
                <w:rFonts w:ascii="Arial" w:cs="Arial" w:eastAsia="Arial" w:hAnsi="Arial"/>
                <w:sz w:val="18"/>
                <w:szCs w:val="18"/>
                <w:color w:val="auto"/>
              </w:rPr>
              <w:t>Affiliate depreciation</w:t>
            </w:r>
            <w:r>
              <w:rPr>
                <w:rFonts w:ascii="Arial" w:cs="Arial" w:eastAsia="Arial" w:hAnsi="Arial"/>
                <w:sz w:val="29"/>
                <w:szCs w:val="29"/>
                <w:color w:val="auto"/>
                <w:vertAlign w:val="superscript"/>
              </w:rPr>
              <w:t>(5)</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Economic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 shares outstanding—diluted</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Assumed issuance of senior convertible securities shares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Assumed issuance of junior convertible securities shares</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impact of senior convertible securities shares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Dilutive impact of junior convertible securities shares</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outstanding—adjusted diluted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Economic earnings per share</w:t>
            </w:r>
            <w:r>
              <w:rPr>
                <w:rFonts w:ascii="Arial" w:cs="Arial" w:eastAsia="Arial" w:hAnsi="Arial"/>
                <w:sz w:val="29"/>
                <w:szCs w:val="29"/>
                <w:b w:val="1"/>
                <w:bCs w:val="1"/>
                <w:color w:val="auto"/>
                <w:vertAlign w:val="superscript"/>
              </w:rPr>
              <w:t>(5)</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gridSpan w:val="3"/>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80" w:hanging="531"/>
        <w:spacing w:after="0" w:line="298"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discussed in Note 1 to the Consolidated Financial Statements on page 49, we are required to use the equity method of accounting for certain of our investments and, as such, do not separately report these Affiliates' revenues or expenses (including intangible amortization) in our income statement. Our share of these investments' amortization, $31.9 million, $32.1 million and $32.9 million for 2009, 2010 and 2011, respectively, is reported in Income from equity method investments.</w:t>
      </w:r>
    </w:p>
    <w:p>
      <w:pPr>
        <w:spacing w:after="0" w:line="193" w:lineRule="exact"/>
        <w:rPr>
          <w:rFonts w:ascii="Arial" w:cs="Arial" w:eastAsia="Arial" w:hAnsi="Arial"/>
          <w:sz w:val="16"/>
          <w:szCs w:val="16"/>
          <w:color w:val="auto"/>
        </w:rPr>
      </w:pPr>
    </w:p>
    <w:p>
      <w:pPr>
        <w:ind w:left="1680" w:hanging="531"/>
        <w:spacing w:after="0"/>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reported intangible amortization, $32.9 million, $60.0 million and $97.7 million for 2009, 2010 and 2011, respectively, includes</w:t>
      </w:r>
    </w:p>
    <w:p>
      <w:pPr>
        <w:spacing w:after="0" w:line="38" w:lineRule="exact"/>
        <w:rPr>
          <w:rFonts w:ascii="Arial" w:cs="Arial" w:eastAsia="Arial" w:hAnsi="Arial"/>
          <w:sz w:val="16"/>
          <w:szCs w:val="16"/>
          <w:color w:val="auto"/>
        </w:rPr>
      </w:pPr>
    </w:p>
    <w:p>
      <w:pPr>
        <w:ind w:left="1680" w:right="60"/>
        <w:spacing w:after="0" w:line="302" w:lineRule="auto"/>
        <w:rPr>
          <w:rFonts w:ascii="Arial" w:cs="Arial" w:eastAsia="Arial" w:hAnsi="Arial"/>
          <w:sz w:val="16"/>
          <w:szCs w:val="16"/>
          <w:color w:val="auto"/>
        </w:rPr>
      </w:pPr>
      <w:r>
        <w:rPr>
          <w:rFonts w:ascii="Arial" w:cs="Arial" w:eastAsia="Arial" w:hAnsi="Arial"/>
          <w:sz w:val="16"/>
          <w:szCs w:val="16"/>
          <w:color w:val="auto"/>
        </w:rPr>
        <w:t>$0.4 million, $6.2 million and $13.6 million, respectively, of amortization attributable to our non-controlling interests, amounts not added back to Net income (controlling interest) to measure our Economic net income. The 2011 reported intangible amortization includes a $9.2 million expense associated with the revaluation of Indefinite-lived intangible assets at one of our Affiliates.</w:t>
      </w:r>
    </w:p>
    <w:p>
      <w:pPr>
        <w:spacing w:after="0" w:line="176" w:lineRule="exact"/>
        <w:rPr>
          <w:rFonts w:ascii="Arial" w:cs="Arial" w:eastAsia="Arial" w:hAnsi="Arial"/>
          <w:sz w:val="16"/>
          <w:szCs w:val="16"/>
          <w:color w:val="auto"/>
        </w:rPr>
      </w:pPr>
    </w:p>
    <w:p>
      <w:pPr>
        <w:ind w:left="1680" w:right="40" w:hanging="531"/>
        <w:spacing w:after="0" w:line="268"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described in Note (2) above, we reduced the carrying value of certain of our Indefinite-lived intangible assets during 2011. In addition, we recorded a 2% reduction in the United Kingdom tax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rate. Together, the tax effect of these items resulted in a $8.7 million decrease in our intangible-related deferred taxes.</w:t>
      </w:r>
    </w:p>
    <w:p>
      <w:pPr>
        <w:spacing w:after="0" w:line="239" w:lineRule="exact"/>
        <w:rPr>
          <w:sz w:val="20"/>
          <w:szCs w:val="20"/>
          <w:color w:val="auto"/>
        </w:rPr>
      </w:pPr>
    </w:p>
    <w:p>
      <w:pPr>
        <w:jc w:val="both"/>
        <w:ind w:left="1680" w:right="160" w:hanging="531"/>
        <w:spacing w:after="0" w:line="306"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reported Imputed interest expense and contingent payment arrangements, $13.5 million, $24.9 million and $27.3 million for 2009, 2010 and 2011, respectively, includes $0, $3.9 million and $4.3 million of imputed interest attributable to our non-controlling interests, amounts not added back to Net income (controlling interest) to measure our Economic net income.</w:t>
      </w:r>
    </w:p>
    <w:p>
      <w:pPr>
        <w:spacing w:after="0" w:line="187" w:lineRule="exact"/>
        <w:rPr>
          <w:rFonts w:ascii="Arial" w:cs="Arial" w:eastAsia="Arial" w:hAnsi="Arial"/>
          <w:sz w:val="16"/>
          <w:szCs w:val="16"/>
          <w:color w:val="auto"/>
        </w:rPr>
      </w:pPr>
    </w:p>
    <w:p>
      <w:pPr>
        <w:ind w:left="1680" w:right="160" w:hanging="531"/>
        <w:spacing w:after="0" w:line="294"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first quarter of 2010, we modified our Economic net income definition to exclude non-cash imputed interest and revaluation adjustments related to contingent payment arrangements from Net income (controlling interest), and in the fourth quarter of 2010 we further modified the definition to no longer add back Affiliate depreciation to Net income (controlling interest). If we had applied these definition changes to all periods presented above, Economic net income would have been $170.4 million and $292.3 million and Economic earnings per share would have been $4.01 and $5.95 for the years ended December 31, 2009 and 2010,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certain key financial data relating to our liquidity and capital resources: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2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780" w:type="dxa"/>
            <w:vAlign w:val="bottom"/>
          </w:tcPr>
          <w:p>
            <w:pPr>
              <w:spacing w:after="0"/>
              <w:rPr>
                <w:sz w:val="12"/>
                <w:szCs w:val="12"/>
                <w:color w:val="auto"/>
              </w:rPr>
            </w:pPr>
          </w:p>
        </w:tc>
        <w:tc>
          <w:tcPr>
            <w:tcW w:w="68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7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7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  259.5</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313.3</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449.5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1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2008 senior convertible notes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coupon convertible notes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Junior convertible trust preferred securities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507.4</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cash flows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243.2</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cash flows</w:t>
            </w:r>
          </w:p>
        </w:tc>
        <w:tc>
          <w:tcPr>
            <w:tcW w:w="2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Financing cash flows</w:t>
            </w:r>
          </w:p>
        </w:tc>
        <w:tc>
          <w:tcPr>
            <w:tcW w:w="2540" w:type="dxa"/>
            <w:vAlign w:val="bottom"/>
            <w:gridSpan w:val="3"/>
          </w:tcPr>
          <w:p>
            <w:pPr>
              <w:jc w:val="right"/>
              <w:ind w:right="20"/>
              <w:spacing w:after="0"/>
              <w:rPr>
                <w:sz w:val="20"/>
                <w:szCs w:val="20"/>
                <w:color w:val="auto"/>
              </w:rPr>
            </w:pPr>
            <w:r>
              <w:rPr>
                <w:rFonts w:ascii="Arial" w:cs="Arial" w:eastAsia="Arial" w:hAnsi="Arial"/>
                <w:sz w:val="18"/>
                <w:szCs w:val="18"/>
                <w:color w:val="auto"/>
              </w:rPr>
              <w:t>(202.2)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(503.8)</w:t>
            </w:r>
          </w:p>
        </w:tc>
      </w:tr>
      <w:tr>
        <w:trPr>
          <w:trHeight w:val="257"/>
        </w:trPr>
        <w:tc>
          <w:tcPr>
            <w:tcW w:w="20" w:type="dxa"/>
            <w:vAlign w:val="bottom"/>
          </w:tcPr>
          <w:p>
            <w:pPr>
              <w:spacing w:after="0"/>
              <w:rPr>
                <w:sz w:val="22"/>
                <w:szCs w:val="22"/>
                <w:color w:val="auto"/>
              </w:rPr>
            </w:pPr>
          </w:p>
        </w:tc>
        <w:tc>
          <w:tcPr>
            <w:tcW w:w="4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22"/>
                <w:szCs w:val="22"/>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definition of EBITDA is presented below under Supplemental Liquidity Measure.</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view our ratio of debt to EBITDA (our "internal leverage ratio") as an important gauge of our ability to service debt, make new investments and access additional capital. Consistent with industry practice, we do not consider junior trust preferred securities as debt for the purpose of determining our internal leverage ratio. We also view our leverage on a "net debt" basis by deducting from our debt balance holding company cash. At December 31, 2011, our internal leverage ratio was 1.3:1.</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our credit facility we are required to meet two financial ratio covenants. The first of these covenants is a maximum ratio of debt to EBITDA (the "bank leverage ratio") of 3.0. The calculation of our bank leverage ratio is generally consistent with our internal leverage ratio approach. The second covenant is a minimum EBITDA to cash interest expense ratio of 3.0 (our "bank interest coverage ratio"). For purposes of calculating these ratios, share-based compensation expense is added back to EBITDA. As of December 31, 2011, our actual bank leverage and bank interest coverage ratios were 1.5 and 8.3, respectively, and we were in compliance with all terms of our credit facility. We have $750.0 million of remaining capacity under our credit facility and we could borrow the entire amount and remain in compliance with our credit agreement.</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are rated BBB- by both Standard &amp; Poor's and Fitch rating agencies. With the exception of a modest increase in the borrowing rate under our credit facility (0.50%), a downgrade of our credit rating would have no direct financial effect on any of our agreements or securities (or otherwise trigger a default).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Liquidity Measure</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supplemental information, we have provided information regarding our EBITDA, a non-GAAP liquidity measure. This measure is provided in addition to, but not as a substitute for, cash flow from operating activities. EBITDA represents earnings before interest expense, income taxes, depreciation and amortization. EBITDA, as calculated by us, may not be consistent with computations of EBITDA by other companies. As a measure of liquidity, we believe that EBITDA is useful as an indicator of our ability to service debt, make new investments and meet working capital requirements. We further believe that many investors use this information when analyzing the financial position of companies in the investment management industry.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reconciliation of cash flow from operations to EBITDA: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Interest expense, net of non-cash items</w:t>
            </w:r>
            <w:r>
              <w:rPr>
                <w:rFonts w:ascii="Arial" w:cs="Arial" w:eastAsia="Arial" w:hAnsi="Arial"/>
                <w:sz w:val="29"/>
                <w:szCs w:val="29"/>
                <w:color w:val="auto"/>
                <w:vertAlign w:val="superscript"/>
              </w:rPr>
              <w:t>(1)</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tax provision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Income from equity method investments, net of distributions</w:t>
            </w:r>
            <w:r>
              <w:rPr>
                <w:rFonts w:ascii="Arial" w:cs="Arial" w:eastAsia="Arial" w:hAnsi="Arial"/>
                <w:sz w:val="29"/>
                <w:szCs w:val="29"/>
                <w:color w:val="auto"/>
                <w:vertAlign w:val="superscript"/>
              </w:rPr>
              <w:t>(2)</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(non-controlling interests)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Net (income) loss (non-controlling interests in partnerships)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80" w:type="dxa"/>
            <w:vAlign w:val="bottom"/>
            <w:gridSpan w:val="2"/>
          </w:tcPr>
          <w:p>
            <w:pPr>
              <w:ind w:left="160"/>
              <w:spacing w:after="0" w:line="284" w:lineRule="exact"/>
              <w:rPr>
                <w:sz w:val="20"/>
                <w:szCs w:val="20"/>
                <w:color w:val="auto"/>
              </w:rPr>
            </w:pPr>
            <w:r>
              <w:rPr>
                <w:rFonts w:ascii="Arial" w:cs="Arial" w:eastAsia="Arial" w:hAnsi="Arial"/>
                <w:sz w:val="18"/>
                <w:szCs w:val="18"/>
                <w:color w:val="auto"/>
              </w:rPr>
              <w:t>Other non-cash adjustments</w:t>
            </w:r>
            <w:r>
              <w:rPr>
                <w:rFonts w:ascii="Arial" w:cs="Arial" w:eastAsia="Arial" w:hAnsi="Arial"/>
                <w:sz w:val="29"/>
                <w:szCs w:val="29"/>
                <w:color w:val="auto"/>
                <w:vertAlign w:val="superscript"/>
              </w:rPr>
              <w:t>(3)</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6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items include Amortization of issuance costs and Imputed interest and contingent payment arrangements ($21.1 million, $32.5 million and $35.4 million in 2009, 2010 and 2011, respectively).</w:t>
      </w:r>
    </w:p>
    <w:p>
      <w:pPr>
        <w:spacing w:after="0" w:line="212" w:lineRule="exact"/>
        <w:rPr>
          <w:rFonts w:ascii="Arial" w:cs="Arial" w:eastAsia="Arial" w:hAnsi="Arial"/>
          <w:sz w:val="18"/>
          <w:szCs w:val="18"/>
          <w:color w:val="auto"/>
        </w:rPr>
      </w:pPr>
    </w:p>
    <w:p>
      <w:pPr>
        <w:ind w:left="1680" w:right="80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from equity method investments were $55.5 million, $65.8 million and $128.3 million for 2009, 2010 and 2011, respectively.</w:t>
      </w:r>
    </w:p>
    <w:p>
      <w:pPr>
        <w:spacing w:after="0" w:line="199" w:lineRule="exact"/>
        <w:rPr>
          <w:rFonts w:ascii="Arial" w:cs="Arial" w:eastAsia="Arial" w:hAnsi="Arial"/>
          <w:sz w:val="18"/>
          <w:szCs w:val="18"/>
          <w:color w:val="auto"/>
        </w:rPr>
      </w:pPr>
    </w:p>
    <w:p>
      <w:pPr>
        <w:ind w:left="1680" w:right="52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non-cash adjustments include share-based compensation expenses, tax benefits from stock options and other adjustments to reconcile Net income (controlling interest) to net cash flow from operating activities.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2011, we met our cash requirements primarily through cash generated by operating activities and borrowings of senior bank debt. Our principal uses of cash were to make distributions to Affiliate partners and repay our senior bank debt and other liabilities. We expect that our principal uses of cash for the foreseeable future will be for investments in new and existing Affiliates, distributions to Affiliate managers, payment of principal and interest on outstanding debt, and for working capital purposes.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principal amount at maturity of our debt obligations and convertible securities as of December 31, 2011:</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Form of</w:t>
            </w:r>
          </w:p>
        </w:tc>
      </w:tr>
      <w:tr>
        <w:trPr>
          <w:trHeight w:val="161"/>
        </w:trPr>
        <w:tc>
          <w:tcPr>
            <w:tcW w:w="6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Repayment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2008 senior convertibles notes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convertible trust preferred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2036/2037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Settled in cash.</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Settled in cash if holders exercise their August 2013, 2018, 2023, 2028 or 2033 put rights, and in cash or common stock at our election if the holders exercise their conversion rights.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Settled in cash or common stock (or a combination thereof) at our election if the holders exercise their conversion rights.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Bank Debt</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entered into a $1.0 billion senior unsecured credit facility in November 2011 (the "amended credit facility"), consisting of a $750.0 million revolving credit facility (the "revolver") and a $250.0 million term loan (the "term loan"), the principal terms of which are similar to our previous senior unsecured revolving credit facility. The term loan and $720.0 million of the revolver have a five-year maturity (maturing November 3, 2016); the remaining $30.0 million of the revolver matures January 12, 2015. Subject to certain conditions, we may increase the revolver and the term loan by up to $150.0 million and $250.0 million, respectively. The term loan borrowings were used to repay the outstanding balance under the previous revolving credit facility ($210.0 million) and for general corporate purposes.</w:t>
      </w:r>
    </w:p>
    <w:p>
      <w:pPr>
        <w:spacing w:after="0" w:line="198"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amended credit facility is unsecured and contains financial covenants with respect to leverage and interest coverage, as well as customary affirmative and negative covenants including limitations on indebtedness, liens, cash dividends, asset dispositions and fundamental corporate changes.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Securities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At December 31, 2011, we have one senior convertible security outstanding ("2008 senior convertible notes") and two junior convertible trust preferred securities outstanding, one issued in 2006 (the "2006 junior convertible trust preferred securities") and a second issued in 2007 (the "2007 junior convertible trust preferred securities"). The principal terms of these securities are summarized below.</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2007 Junior</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2006 Junior</w:t>
            </w:r>
          </w:p>
        </w:tc>
      </w:tr>
      <w:tr>
        <w:trPr>
          <w:trHeight w:val="149"/>
        </w:trPr>
        <w:tc>
          <w:tcPr>
            <w:tcW w:w="2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Convertible</w:t>
            </w:r>
          </w:p>
        </w:tc>
      </w:tr>
      <w:tr>
        <w:trPr>
          <w:trHeight w:val="149"/>
        </w:trPr>
        <w:tc>
          <w:tcPr>
            <w:tcW w:w="2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Trust Preferred</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Trust Preferred</w:t>
            </w:r>
          </w:p>
        </w:tc>
      </w:tr>
      <w:tr>
        <w:trPr>
          <w:trHeight w:val="16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4"/>
                <w:szCs w:val="14"/>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date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August 2008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October 2007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2006</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August 2038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October 2037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April 2036</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Par value </w:t>
            </w:r>
            <w:r>
              <w:rPr>
                <w:rFonts w:ascii="Arial" w:cs="Arial" w:eastAsia="Arial" w:hAnsi="Arial"/>
                <w:sz w:val="18"/>
                <w:szCs w:val="18"/>
                <w:i w:val="1"/>
                <w:iCs w:val="1"/>
                <w:color w:val="auto"/>
              </w:rPr>
              <w:t>(in millions)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r>
      <w:tr>
        <w:trPr>
          <w:trHeight w:val="257"/>
        </w:trPr>
        <w:tc>
          <w:tcPr>
            <w:tcW w:w="4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Carrying value </w:t>
            </w:r>
            <w:r>
              <w:rPr>
                <w:rFonts w:ascii="Arial" w:cs="Arial" w:eastAsia="Arial" w:hAnsi="Arial"/>
                <w:sz w:val="18"/>
                <w:szCs w:val="18"/>
                <w:i w:val="1"/>
                <w:iCs w:val="1"/>
                <w:color w:val="auto"/>
              </w:rPr>
              <w:t>(in millions)</w:t>
            </w:r>
            <w:r>
              <w:rPr>
                <w:rFonts w:ascii="Arial" w:cs="Arial" w:eastAsia="Arial" w:hAnsi="Arial"/>
                <w:sz w:val="29"/>
                <w:szCs w:val="29"/>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435.6</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214.8</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Current conversion rate</w:t>
            </w:r>
          </w:p>
        </w:tc>
        <w:tc>
          <w:tcPr>
            <w:tcW w:w="1080" w:type="dxa"/>
            <w:vAlign w:val="bottom"/>
          </w:tcPr>
          <w:p>
            <w:pPr>
              <w:jc w:val="right"/>
              <w:spacing w:after="0"/>
              <w:rPr>
                <w:sz w:val="20"/>
                <w:szCs w:val="20"/>
                <w:color w:val="auto"/>
              </w:rPr>
            </w:pPr>
            <w:r>
              <w:rPr>
                <w:rFonts w:ascii="Arial" w:cs="Arial" w:eastAsia="Arial" w:hAnsi="Arial"/>
                <w:sz w:val="18"/>
                <w:szCs w:val="18"/>
                <w:color w:val="auto"/>
              </w:rPr>
              <w:t>7.959</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0.250</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0.333</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conversion price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Stated coupon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r>
      <w:tr>
        <w:trPr>
          <w:trHeight w:val="257"/>
        </w:trPr>
        <w:tc>
          <w:tcPr>
            <w:tcW w:w="4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deduction rate</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r>
      <w:tr>
        <w:trPr>
          <w:trHeight w:val="108"/>
        </w:trPr>
        <w:tc>
          <w:tcPr>
            <w:tcW w:w="212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260" w:right="720" w:hanging="540"/>
        <w:spacing w:after="0" w:line="268"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carrying value is accreted to the principal amount at maturity over an expected life of five years for the 2008 senior convertible notes and 30 years for each of the junior convertible trust preferred securities.</w:t>
      </w:r>
    </w:p>
    <w:p>
      <w:pPr>
        <w:spacing w:after="0" w:line="212" w:lineRule="exact"/>
        <w:rPr>
          <w:rFonts w:ascii="Arial" w:cs="Arial" w:eastAsia="Arial" w:hAnsi="Arial"/>
          <w:sz w:val="18"/>
          <w:szCs w:val="18"/>
          <w:color w:val="auto"/>
        </w:rPr>
      </w:pPr>
    </w:p>
    <w:p>
      <w:pPr>
        <w:ind w:left="2260" w:right="340" w:hanging="540"/>
        <w:spacing w:after="0" w:line="268" w:lineRule="auto"/>
        <w:tabs>
          <w:tab w:leader="none" w:pos="2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convertible securities are considered contingent payment debt instruments under federal income tax regulations, which require us to deduct interest in an amount greater than our reported Interest expense.</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2008 convertible notes are convertible into a defined number of shares of our common stock upon the occurrence of certain events. Upon conversion, we may elect to pay or deliver cash, shares of common stock, or some combination thereof. The holders of the 2008 convertible notes may put these securities to us in August of 2013, 2018, 2023, 2028 and 2033. We may call the notes for cash at any time on or after August 15, 2013.</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the second quarter of 2010, we called our zero coupon senior convertible notes due May 7, 2021 for redemption at their principal amount plus any original issue discount accrued thereon. In lieu of redemption, all of the holders elected to convert their zero coupon senior convertible notes into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We issued 873,626 shares of common stock to settle these conversions, and cancelled and retired the notes.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Both the 2006 and 2007 junior convertible trust preferred securities are convertible, at any time, into a defined number of shares. Upon conversion, holders will receive cash or shares of our common stock, or a combination thereof. We can call the 2006 junior convertible trust preferred securities if the closing price of our common stock exceeds $195 per share for a specified period of time.</w:t>
      </w:r>
    </w:p>
    <w:p>
      <w:pPr>
        <w:spacing w:after="0" w:line="194"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can call the 2007 junior convertible trust preferred securities on or after October 2012 if the closing price of our common stock exceeds $260 per share for a specified period of time. Holders of the 2006 and 2007 junior trust preferred securities have no rights to put these securities to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From time to time, we seek to offset our exposure to changing interest rates under our debt financing arrangements by entering into interest rate hedging contracts. These instruments are designated as cash flow hedges with changes in fair value recorded in Other comprehensive income for the effective portion of the hedge.</w:t>
      </w:r>
    </w:p>
    <w:p>
      <w:pPr>
        <w:spacing w:after="0" w:line="194"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We have entered into interest rate swap contracts to exchange a fixed rate for the variable rate on a portion of our credit facility. These contracts expire between 2015 and 2017. Under these contracts, we will pay a weighted average fixed rate of 1.76% on a notional amount of $100.0 million through October 2015. Thereafter, through October 2017, we will pay a weighted average fixed rate of 2.14% on a remaining notional amount of $25.0 million. As of December 31, 2011, the unrealized loss (before taxes) on these contracts was $2.9 million.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also entered into treasury rate lock agreements to hedge an anticipated issuance of fixed-rate debt. Treasury lock contracts with a notional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 million were settled in February 2011 for a net pre-tax gain of $4.0 million. Treasury lock contracts with a notional value of $75.0 million were settled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2011 for a net pre-tax loss of $4.7 million. These contracts were intended to hedge the risks associated with changes in interest rates on fixed-rate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that is anticipated to occur prior to the end of the second quarter of 2012. The net loss on these contracts ($0.7 million) is reflected as a component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and will be recognized as an increase to Interest expense over the life of the expected fixed rate debt issuance, or recorded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and other (income) loss in the event we determine that it is not probable we will issue the anticipated fixed rate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Equity Sale Agreement</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July 2011, we entered into a forward equity sale agreement with two major securities firms under which we may sell shares of our common stock with an aggregate sales price of up to $300.0 million. As of December 31, 2011, no forward equity sales have occurred.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Equity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Many of our operating agreements provide us a conditional right to call and Affiliate partners the conditional right to put their retained equity interests at certain intervals. The purchase price of these conditional purchases are generally calculated based upon a multiple of the Affiliate's cash flow distributions, which is intended to represent fair value. Affiliate management partners are also permitted to sell their equity interests to other individuals or entities in certain cases, subject to our approval or other restrictions.</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current redemption value for these interests has been presented as Redeemable non-controlling interests on our Consolidated Balance Sheets. Although the timing and amounts of these purchases are difficult to predict, we expect to repurchase approximately $50.0 million of Affiliate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during the next twelve months, and, in such event, will own the cash flow associated with any equity repurchased.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Cash flow from operations generally represents Net income plus non-cash charges for amortization, deferred taxes, equity-based compensation and depreciation, as well as increases and decreases in our consolidated working capital.</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increase in cash flows from operations in 2011 as compared to 2010, resulted principally from increases in Net income of $72.3 million, in the collections of Investment advisory fees receivable of $71.7 million, in distributions received from equity method investments of $62.5 million, in amortization of intangible assets of $37.7 million, and in share-based compensation of $10.8 million, as well as a decrease in settlements of fund shares payable of $12.5 million. These increases in cash flows were partially offset by an increase in the settlements of Accounts payable and accrued liabilities of $57.3 million.</w:t>
      </w:r>
    </w:p>
    <w:p>
      <w:pPr>
        <w:spacing w:after="0" w:line="167" w:lineRule="exact"/>
        <w:rPr>
          <w:sz w:val="20"/>
          <w:szCs w:val="20"/>
          <w:color w:val="auto"/>
        </w:rPr>
      </w:pPr>
    </w:p>
    <w:p>
      <w:pPr>
        <w:ind w:right="320" w:firstLine="348"/>
        <w:spacing w:after="0" w:line="323" w:lineRule="auto"/>
        <w:rPr>
          <w:sz w:val="20"/>
          <w:szCs w:val="20"/>
          <w:color w:val="auto"/>
        </w:rPr>
      </w:pPr>
      <w:r>
        <w:rPr>
          <w:rFonts w:ascii="Arial" w:cs="Arial" w:eastAsia="Arial" w:hAnsi="Arial"/>
          <w:sz w:val="15"/>
          <w:szCs w:val="15"/>
          <w:color w:val="auto"/>
        </w:rPr>
        <w:t>The increase in cash flows from operations in 2010 as compared to 2009, resulted principally from increases in Net income of $74.4 million and in other adjustments of $51.1 million, as well as a decrease in settlements of Accounts payable and accrued liabilities of $127.3 million. These increases in cash flows were partially offset by an increase in income from equity method investments of $45.9 million (offset by an increase in distributions received from equity method investments of $10.3 million), as well as a decrease in collections of Investment advisory fees receivable of $42.6 million, which reduced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net cash flow used in investing activities decreased $906.1 million in 2011, as compared to 2010. This was primarily the result of the decrease in new Affiliate investments in 2011. Net cash flow used to make investments in Affiliates was $13.3 million, $916.1 million and $139.3 million for the years ended December 31, 2011, 2010 and 2009, respectively. The investment in 2011 was funded with existing cash. Our investments in 2010 and 2009 were funded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Financing cash flows decreased $1,048.8 million in 2011 as compared to 2010. This was primarily a result of a decrease in net borrowings of bank debt of $670.0 million, a decrease in proceeds from the settlement of forward equity sales of $294.7 million, an increase in distributions to non-controlling interests of $66.9 million, as well as an increase in the repurchase of common stock of $61.0 million.</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Net cash flows from financing activities increased $747.3 million in 2010 as compared to 2009, primarily a result of an increase in net borrowings of senior bank debt of $693.5 million as well as an increase in proceeds from the settlement of forward equity sales of $150.4 million. These increases were partially offset by an increase in repurchases of Affiliate equity of $96.2 million.</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2010, we used available cash and borrowings under our credit facility to finance our investments in Artemis and Trilogy, and issued shares of common stock for our Aston investment. We financed our Pantheon investment with available cash, borrowings under our credit facility, and proceeds from the partial settlement of forward equity sales.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Excess tax benefits associated with stock options have been reported as financing cash flows in the amount of $7.1 million, $10.1 million and $7.5 million as of December 31, 2011, 2010 and 2009, respectively.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Under past acquisition agreements, we are contingently liable, upon achievement of specified financial targets, to make payments of up to $491.4 million through 2017. In 2012, we expect to make total payments of approximately $80.1 million to settle portions of these contingent arrangements. In addition, we expect to repurchase approximately $50.0 million of interests in certain existing Affiliates in 2012.</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Board of Directors has periodically authorized share repurchase programs (most recently October 2011). The maximum number of shares that may be repurchased under outstanding programs is approximately 2.9 million. The timing and amount of repurchases are determined at the discretion of our management. In 2011, we repurchased 0.7 million shares for $61.0 million at an average price of $83.63.</w:t>
      </w:r>
    </w:p>
    <w:p>
      <w:pPr>
        <w:spacing w:after="0" w:line="194"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anticipate that borrowings under the credit facility and proceeds from the settlement of any forward equity sales, together with cash flows from operations will be sufficient to support our cash flow needs for 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31, 2011: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Payments Due</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9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2013-2014</w:t>
            </w:r>
          </w:p>
        </w:tc>
        <w:tc>
          <w:tcPr>
            <w:tcW w:w="9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2015-2016</w:t>
            </w:r>
          </w:p>
        </w:tc>
        <w:tc>
          <w:tcPr>
            <w:tcW w:w="16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38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gridSpan w:val="2"/>
          </w:tcPr>
          <w:p>
            <w:pPr>
              <w:spacing w:after="0" w:line="256" w:lineRule="exact"/>
              <w:rPr>
                <w:sz w:val="20"/>
                <w:szCs w:val="20"/>
                <w:color w:val="auto"/>
              </w:rPr>
            </w:pPr>
            <w:r>
              <w:rPr>
                <w:rFonts w:ascii="Arial" w:cs="Arial" w:eastAsia="Arial" w:hAnsi="Arial"/>
                <w:sz w:val="18"/>
                <w:szCs w:val="18"/>
                <w:color w:val="auto"/>
              </w:rPr>
              <w:t>Senior convertible securities</w:t>
            </w:r>
            <w:r>
              <w:rPr>
                <w:rFonts w:ascii="Arial" w:cs="Arial" w:eastAsia="Arial" w:hAnsi="Arial"/>
                <w:sz w:val="29"/>
                <w:szCs w:val="29"/>
                <w:color w:val="auto"/>
                <w:vertAlign w:val="superscript"/>
              </w:rPr>
              <w:t>(1)</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convertible trust preferred securities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1,671.3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Leases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Other liabilities</w:t>
            </w:r>
            <w:r>
              <w:rPr>
                <w:rFonts w:ascii="Arial" w:cs="Arial" w:eastAsia="Arial" w:hAnsi="Arial"/>
                <w:sz w:val="29"/>
                <w:szCs w:val="29"/>
                <w:color w:val="auto"/>
                <w:vertAlign w:val="superscript"/>
              </w:rPr>
              <w:t>(2)</w:t>
            </w: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Derivative instruments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3,089.5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Contingent Obligations</w:t>
            </w: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3"/>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820" w:type="dxa"/>
            <w:vAlign w:val="bottom"/>
            <w:gridSpan w:val="2"/>
            <w:shd w:val="clear" w:color="auto" w:fill="CCEEFF"/>
          </w:tcPr>
          <w:p>
            <w:pPr>
              <w:spacing w:after="0" w:line="259" w:lineRule="exact"/>
              <w:rPr>
                <w:sz w:val="20"/>
                <w:szCs w:val="20"/>
                <w:color w:val="auto"/>
              </w:rPr>
            </w:pPr>
            <w:r>
              <w:rPr>
                <w:rFonts w:ascii="Arial" w:cs="Arial" w:eastAsia="Arial" w:hAnsi="Arial"/>
                <w:sz w:val="18"/>
                <w:szCs w:val="18"/>
                <w:color w:val="auto"/>
              </w:rPr>
              <w:t>Contingent payment obligations</w:t>
            </w:r>
            <w:r>
              <w:rPr>
                <w:rFonts w:ascii="Arial" w:cs="Arial" w:eastAsia="Arial" w:hAnsi="Arial"/>
                <w:sz w:val="29"/>
                <w:szCs w:val="29"/>
                <w:color w:val="auto"/>
                <w:vertAlign w:val="superscript"/>
              </w:rPr>
              <w:t>(3)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80" w:hanging="531"/>
        <w:spacing w:after="0" w:line="259"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debt payments assumes that outstanding debt is settled for cash or common stock at the applicable maturity dates. The amounts include the cash payment of fixed interest. Holders of the 2008 convertible notes may put their interests to us for $460.0 million in 2013.</w:t>
      </w:r>
    </w:p>
    <w:p>
      <w:pPr>
        <w:spacing w:after="0" w:line="221" w:lineRule="exact"/>
        <w:rPr>
          <w:rFonts w:ascii="Arial" w:cs="Arial" w:eastAsia="Arial" w:hAnsi="Arial"/>
          <w:sz w:val="18"/>
          <w:szCs w:val="18"/>
          <w:color w:val="auto"/>
        </w:rPr>
      </w:pPr>
    </w:p>
    <w:p>
      <w:pPr>
        <w:ind w:left="1680" w:right="40" w:hanging="531"/>
        <w:spacing w:after="0" w:line="256"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liabilities reflect amounts payable to Affiliate managers related to our purchase of additional Affiliate equity interests and deferred purchase price payments for acquisitions. This table does not include liabilities for uncertain tax positions or commitments to co-invest in certain investment partnerships (of $21.3 million and $80.5 million as of December 31, 2011, respectively) as we cannot predict when such obligations will be paid.</w:t>
      </w:r>
    </w:p>
    <w:p>
      <w:pPr>
        <w:spacing w:after="0" w:line="210" w:lineRule="exact"/>
        <w:rPr>
          <w:rFonts w:ascii="Arial" w:cs="Arial" w:eastAsia="Arial" w:hAnsi="Arial"/>
          <w:sz w:val="18"/>
          <w:szCs w:val="18"/>
          <w:color w:val="auto"/>
        </w:rPr>
      </w:pPr>
    </w:p>
    <w:p>
      <w:pPr>
        <w:ind w:left="1680" w:right="280" w:hanging="531"/>
        <w:spacing w:after="0" w:line="332"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contingent payments related to business acquisitions disclosed in the table represents our expected settlement amounts. The maximum settlement amount through 2012 is approximately $298.1 million and $193.3 million in periods thereafter.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revenue is derived primarily from advisory fees which are based on assets under management. Such values are affected by changes in financial markets, and accordingly declines in the financial markets will negatively impact our Revenue and Net income. The broader financial markets are affected, in part, by changing interest rates. We cannot predict the effects that interest rates or changes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interest rates may have on either the broader financial markets or our Affiliates' assets under management and associated fees.</w:t>
      </w:r>
    </w:p>
    <w:p>
      <w:pPr>
        <w:spacing w:after="0" w:line="225"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We have fixed rates of interest on our 2008 senior convertible notes and on both issues of our junior convertible trust preferred securities. We pay a variable rate of interest on our credit facility. From time to time, we seek to manage our exposure to changing interest rates by entering into interest rate hedging contracts.</w:t>
      </w:r>
    </w:p>
    <w:p>
      <w:pPr>
        <w:spacing w:after="0" w:line="11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While a change in market interest rates would not affect the interest expense incurred on our fixed rate securities, such a change may affect the fair value of these securities. We estimate that a 1% change in interest rates would result in a net change in the value of our fixed rate securities of approximately $25.7 million.</w:t>
      </w:r>
    </w:p>
    <w:p>
      <w:pPr>
        <w:spacing w:after="0" w:line="194"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operate primarily in the United States, and most of our consolidated revenue and associated expenses are denominated in U.S. dollars. We also provide services and earn revenue outside of the United States; therefore, the portion of our revenue and expenses denominated in foreign currencies may be impacted by movements in currency exchange rates. In addition, the valuations of our foreign Affiliates are impacted by fluctuations in foreign exchange rates, which could be recorded as a component of stockholders' equity. To illustrate the effect of possible changes in currency exchange rates, as of December 31, 2011, a 1% change in the Canadian dollar and British Pound to U.S. dollar exchange rates would result in an approximate $6.3 million change to stockholders' equity and a $0.8 million change to income before income taxes. During 2011, changes in currency exchange rates decreased stockholders' equity by $10.2 million.</w:t>
      </w:r>
    </w:p>
    <w:p>
      <w:pPr>
        <w:spacing w:after="0" w:line="15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From time to time, we seek to offset our exposure to changing interest rates under our debt financing arrangements by entering into derivative contracts as described on page 33. We estimate that a 1% increase in interest rates as of December 31, 2011 would result in a net increase in the unrealized value of our derivative contracts of approximately $4.3 million.</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There can be no assurance that our hedging contracts will meet their overall objective of reducing our interest expense or that we will be successful in obtaining hedging contracts in the future on our existing or any new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September 2011, the Financial Accounting Standards Board issued new guidance on testing goodwill for impairment. The new guidance provides the option of performing a qualitative assessment before proceeding with a quantitative goodwill impairment test. Following an assessment of qualitative factors, if an entity determines that it is more likely than not that the fair value of a reporting unit is greater than its carrying amount, including goodwill, then a quantitative assessment is unnecessary. This guidance is effective for annual and interim goodwill impairment tests performed for fiscal years beginning after December 15, 2011, with early adoption permitted. We early-adopted this guidance for our annual goodwill impairment testing which was performed in the third quarter of 2011. Adoption of this new guidance did not have a material impact on our Consolidated Financial Statements.</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June 2011, the Financial Accounting Standards Board issued new guidance on the presentation of comprehensive income. This new guidance requires the components of net income and other comprehensive income to be either presented in one continuous statement, or in two separate, but consecutive statements. The new guidance does not change the items that are recognized in net income or other comprehensive income. This new guidance is effective for interim and fiscal periods beginning after December 15, 2011. We early-adopted this guidance in the fourth quarter of 2011. Adoption of this new guidance did not have a material impact on our Consolidated Financial Statements.</w:t>
      </w:r>
    </w:p>
    <w:p>
      <w:pPr>
        <w:spacing w:after="0" w:line="170"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May 2011, the Financial Accounting Standards Board issued an update to the fair value measurements and disclosures guidance. The new guidance clarifies existing fair value measurement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principles and expands certain disclosure requirements, particularly for measurements categorized as Level 3. The amendment is effective for interim and fiscal periods beginning after December 15, 2011. Adoption of this new guidance is not expected to have a material impact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preparation of financial statements and related disclosures in conformity with GAAP requires us to make judgments, assumptions, and estimates that affect the amounts reported in the Consolidated Financial Statements and accompanying notes. Note 1 to the Consolidated Financial Statements describes the significant accounting policies and methods used in the preparation of the Consolidated Financial Statements. The following are our critical accounting estimates and judgments used in the preparation of the Consolidated Financial Statements and actual results could differ materially from the amounts reported.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make judgments to determine the fair value of certain assets, liabilities and equity interests when allocating the purchase price of our new investments, when revaluing our contingent payment arrangements, when we issue or repurchase equity interests and when we test our intangible assets or equity and cost method investments for impairment.</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determining fair values, we make assumptions about the growth rates, profitability and useful lives of existing and prospective client accounts, and consider historical and current market multiples, tax benefits, credit risk, interest rates and discount rates. We consider the reasonableness of our assumptions by comparing our valuation conclusions to observed market transactions, and in certain instances consult with third party valuation experts. As described further below, if we used different assumptions, the effect may be material to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As of December 31, 2011, the carrying value of Goodwill was $2,117.3 million. Goodwill represents the future economic benefits arising from assets acquired in a business combination that are not individually identified and separately recognized, and is reported within the segments in which the business operates. Our goodwill impairment assessments are performed annually at the reporting unit level (in our case, our three operating segments), or more frequently, should circumstances suggest fair value has declined below the related carrying amount. We completed our annual goodwill impairment assessment and no impairments were identified. For purposes of our assessment, we considered various qualitative factors (including market multiples for asset management businesses) and determined that it was unlikely that the fair value of any of our reporting units was less than its respective carrying amount, including goodwill.</w:t>
      </w:r>
    </w:p>
    <w:p>
      <w:pPr>
        <w:spacing w:after="0" w:line="15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fair value of each of our reporting units substantially exceeds their respective carrying values; the fair values of the Mutual Fund, High Net Worth and Institutional reporting units are at least 50% greater than their respective carrying values. Accordingly, only a substantial decline in the value of any of our reporting units would indicate that an impairment may exist.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Indefinite-lived intangible assets are comprised of investment advisory contracts between our Affiliates and their sponsored registered investment companies. Because the contracts are with the registered investment companies themselves, and not with the underlying investors, and the contracts between our Affiliates and the registered investment companies are typically renewed on an annual basis, industry practice under generally accepted accounting principles is to consider the contract life to be indefinite and, as a result, not amortizable.</w:t>
      </w:r>
    </w:p>
    <w:p>
      <w:pPr>
        <w:spacing w:after="0" w:line="19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perform indefinite-lived intangible asset impairment tests annually, or more frequently should circumstances suggest fair value has declined below the related carrying amount. We assess each of our indefinite-lived intangible assets for impairment by comparing their carrying value to the fair value of the investment advisory contract. During the quarter ended December 31, 2011, we determined that the fair value of an indefinite-lived intangible asset at one of our Affiliates, a growth oriented manager of U.S. equity mutual funds, had declined below its carrying value and, accordingly, we reduced the asset to its current fair value. This impairment, which totaled $9.2 million, has been presented within Amortization of intangible assets in our Consolidated Statements of Income. Further declines in the fair value of this asset will likely result in future impairments. For example, if assets under management underlying this asset were to decline 5% (related either to investment performance or client cash outflows), we would likely record an additional impairment of approximately $10.0 million. The fair value of each of our other indefinite-lived intangible assets significantly exceeds their respective carrying value by at least 150%, and accordingly, only a substantial decline in the fair value would indicate an impairment may exist.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 Assets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Definite-lived intangible assets are comprised of investment advisory contracts between our Affiliates and their underlying investors, and are amortized over their estimated useful lives. We monitor the useful lives of these assets and revise them, if necessary. We review historical and projected attrition rates and other events that may influence our projections of the future economic benefit that we will derive from these relationships. Significant judgment is required to estimate the period that these assets will contribute to our cash flows and the pattern over which these assets will be consumed. A change in the remaining useful life of any of these assets could have a material impact on our amortization expense. For example, if we reduced the weighted average remaining life of each of our definite-lived intangible assets by one year, our amortization expense would increase by approximately $10.0 million per year.</w:t>
      </w:r>
    </w:p>
    <w:p>
      <w:pPr>
        <w:spacing w:after="0" w:line="174"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perform definite-lived intangible asset impairment tests annually, or more frequently should circumstances suggest fair value has declined below the related carrying amount. We assess each of our definite-lived acquired client relationships for impairment by comparing their carrying value to the projected undiscounted cash flows of the acquired relationships.</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the fourth quarter, we performed our impairment assessment, and no impairments were identified. Projected undiscounted cash flows over the remaining life of each of these assets exceed their carrying value by at least 60%. Accordingly, only a substantial decline in the undiscounted cash flows underlying these assets would indicate that an impairment may exist.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Cost Method Investments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evaluate equity and cost method investments for impairment by assessing whether the fair value of the investment has declined below its carrying value for a period we consider other-than-temporary. If we determine that a decline in fair value below our carrying value is other-than-temporary, an impairment charge is recognized to reduce the carrying value of the investment to its fair value.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companies with quoted market prices in active markets, we use these prices to determine the fair value of our equity and cost method investments. For companies without quoted market prices in active markets, we determine the fair values by applying a market multiple to the estimated cash flows of each investment. Our fair value multiples are supported by observed transactions and discounted cash flow analyses which reflect assumptions of current and projected levels of Affiliate assets under management, fee rates and estimated expenses. Changes in estimates used in these valuations could materially affect the fair value of these investments.</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the fourth quarter, we completed our evaluation of equity and cost method investments and no impairments were identified. The fair values of our equity method investments are at least 50% greater than their respective carrying values. Accordingly only a substantial decline in the fair value of any of these investments for a period that is considered other-than-temporary would indicate that an impairment may exist. The fair value of one of our cost method investments, a publicly traded investment firm in Hong Kong, had declined below our cost basis as of December 31, 2011. The decline was in line with the broader market decline, and because we intend to hold the investment for a reasonable period of time sufficient for a forecasted recovery, no impairment was recorded.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Imputed Interest Expense and Contingent Payment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Imputed interest expense results, in part, from accreting the fair value of our convertible debt instruments at the time of issuance to their principal amounts over their expected lives. We determine the fair value of our convertible debt using market interest rates in effect at the time of each borrowing, and our expected lives are based on an instrument's underlying contractual terms. Market interest rates are supported by observed transactions and input from valuation experts.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Payment Arrangements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Imputed interest expense also results from accreting the fair value of our contingent payment obligations to our projected future payment amounts over the expected life of these arrangements, as well as any changes to our estimate of the future payments. The fair value of our contingent payment arrangements is determined by discounting the projected future payments (such estimates being dependent upon projected revenue) using current market rates. Our discount rates are developed with input from valuation experts. Our expected lives are determined based on the contractual terms of the underlying arrangements.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the quarter ended December 31, 2011, we changed our estimate of payments to be made under these arrangements and recognized a gain totaling $4.8 million ($3.1 million of which is attributable to the controlling interest). Changes to our projected future payment amounts could materially affect the amount of Imputed interest expense and contingent payment arrangements we recognize in any period. For example, a 1% change in our assumed discount rate or a 1% change in our projected revenue at Affiliates with these types of arrangements would result in an increase or decrease to our Imputed interest expense and contingent payment arrangements of $1.0 million and $7.0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Redeemable non-controlling interests represent the currently redeemable value of our Affiliate partners' retained equity interests. We may pay for these Affiliate equity purchases in cash, shares of our common stock or other forms of consideration, at our election, and have presented our obligation to repurchase these interests as Redeemable non-controlling interests on our Consolidated Balance Sheets.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value these interests upon their transfer or repurchase by applying market multiples to an Affiliate's cash flows, which is intended to represent fair value. The use of different assumptions could change the value of these interests including the amount of compensation expense, if any, that we may report upon their transfer or repurchase.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Tax regulations often require income and expense to be included in our tax returns in different amounts and in different periods than are reflected in the financial statements. Deferred taxes are established to reflect the differences between the inclusion of items of income and expense in the financial statements and their reporting on our tax returns. Our overall tax position requires analysis to estimate the expected realization of tax assets and liabilities. Additionally, we must assess whether to recognize the benefit of uncertain tax positions, and, if so, the appropriate amount of the benefit.</w:t>
      </w:r>
    </w:p>
    <w:p>
      <w:pPr>
        <w:spacing w:after="0" w:line="16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deferred tax liabilities are generated primarily from tax-deductible intangible assets and convertible securities. Most of our intangible assets are tax-deductible because we generally structure our Affiliate investments to be taxable to the sellers. We record deferred taxes because a substantial majority of our intangible assets do not amortize for financial statement purposes, but do amortize for tax purposes, thereby creating tax deductions that reduce our current cash taxes. We generally believe that our intangible-related deferred tax liabilities are unlikely to be used to settle a cash obligation. These liabilities will reverse only in the event of a sale of an Affiliate or an impairment. We are required to accrue the estimated cost of such a reversal as a deferred tax liability. As of December 31, 2011, our estimate of the tax liability associated with such a sale or impairment was approximately $372.5 million.</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During 2011, our convertible securities generated deferred taxes of approximately $22.5 million because our interest deductions for tax purposes are greater than our reported Interest expense (excluding Imputed interest expense and contingent payment arrangements). These deferred tax liabilities may be reclassified to equity if the securities convert to common stock.</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regularly assess our deferred tax assets in order to determine the need for valuation allowances. Our principal deferred tax assets are state operating losses and foreign tax credit carryforwards. In our assessment, we make assumptions about future taxable income that may be generated to utilize these assets, which have limited lives. If we determine that we are unlikely to realize the benefit of a deferred tax asset, we establish a valuation allowance that would increase our tax expense in the period of such determination. As of December 31, 2011, our valuation allowances for state net operating losses, foreign tax credit carryforwards and tax benefit from uncertain tax positions were $22.5 million, $2.6 million and $10.5 million, respectively.</w:t>
      </w:r>
    </w:p>
    <w:p>
      <w:pPr>
        <w:spacing w:after="0" w:line="170"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our assessment of uncertain tax positions, we consider the probability that a tax authority would sustain our tax position in an examination. For tax positions meeting a "more-likely-than-not" threshold, the amount recognized in the financial statements is the benefit expected to be realized upon the ultimate settlement with the tax authority. For tax positions not meeting this threshold, no benefit is recognized.</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Changes in our tax position could have a material impact on our earnings. For example, a 1% increase to our statutory tax rate attributable to our deferred tax liabilities would result in an increase of approximately $14.9 million in our tax expense in the period of such determination.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have share-based compensation plans covering directors, senior management and employees. We calculate share-based compensation using the fair value of the awards on the grant date. Our share-based compensation plans typically vest and become fully exercisable over three to five years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continued employment. We recognize expense net of expected forfeitures on a straight-line basis over the requisite service period, including grants that are subject to graded vesting.</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estimate the fair value of stock option awards using the Black-Scholes option pricing model. The Black-Scholes model requires us to make assumptions about the volatility of our common stock and the expected life of our stock options. In measuring expected volatility, we consider both the historical volatility of our common stock, as well as the current implied volatility from traded securities. In determining volatility, we have placed less emphasis on periods of high volatility that are not representative of our future expectations (see Note 21 to the Consolidated Financial Statements).</w:t>
      </w:r>
    </w:p>
    <w:p>
      <w:pPr>
        <w:spacing w:after="0" w:line="167"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grant equity interests in our Affiliates to our management and Affiliate partners from time to time, with vesting, forfeiture and repurchase terms established at the date of grant. The fair value of the equity interest is determined as of the date of grant using a discounted cash flow analysis. Key valuation assumptions include projected assets under management, fee rates and discount rates.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stock awards are determined based on the closing market price of our stock on the date of the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majority of our consolidated revenue represents advisory fees (asset-based and performance-based). Our Affiliates recognize asset-based advisory fees as they render services to their clients. In addition to generating asset-based fees, over 75 Affiliate products, representing approximately $40.4 billion of assets under management, also bill on the basis of absolute or relative investment performance. Our Affiliates recognize performance fees when they are earned (i.e. when they become billable to customers) based on the contractual terms of agreements and when collection is reasonably assured.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our international distribution initiatives, we have offices in Sydney, Australia, London, England, Hong Kong, and Dubai, United Arab Emirates. In addition, we have international operations through Affiliates who provide some or a significant part of their investment management services to non-US clients. In the future, we may open additional offices, or invest in other investment management firms which conduct a significant part of their operations outside of the United States. There are certain risks inherent in doing business internationally, such as changes in applicable laws and regulatory requirements, difficulties in staffing and managing foreign operations, longer payment cycles, difficulties in collecting investment advisory fees receivable, different and in some cases, less stringent, regulatory and accounting regimes, political instability, fluctuations in currency exchange rates, expatriation controls, expropriation risks and potential adverse tax consequences. There can be no assurance that one or more of such factors will not have a material adverse effect on our international operations or our Affiliates that have international operations or on other investment management firms in which we may invest in the future and, consequently,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do not believe that inflation or changing prices have had a material impact on our results of operations. See "Management's Discussion and Analysis of Financial Condition and Results of Operations—Market Risk" in Item 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For quantitative and qualitative disclosures about how we are affected by market risk, see "Management's Discussion and Analysis of Financial Condition and Results of Operations—Market Risk" in Item 7, which is incorporated by reference herein.</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effected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United States.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70"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 xml:space="preserve">As of December 31, 2011,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Based on this assessment, management has determined that the Company's internal control over financial reporting as of December 31, 2011 was effective.</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Company's internal control over financial reporting as of December 31, 2011 has been audited by PricewaterhouseCoopers LLP, an independent registered public accounting firm, as stated in their report appearing on page 43, which expresses an unqualified opinion on the effectiveness of the firm's internal control over financial reporting as of December 31, 2011.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Affiliated Managers Group, Inc.:</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comprehensive income, changes in equity and cash flows present fairly, in all material respects, the financial position of Affiliated Managers Group, Inc. (the "Company") at December 31, 2011 and 2010, and the results of its operations and its cash flows for each of the three years in the period ended December 31, 2011 in conformity with accounting principles generally accepted in the United States of America. In addition, in our opinion, the financial statement schedule listed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 millions, except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w w:val="90"/>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1,358.2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1,704.8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related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Non-operating (income) and expenses:</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and other (income) loss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Income from equity method investments</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loss from Affiliate investments in partnerships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Imputed interest expense and contingent payment arrangements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Net income (non-controlling interests)</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(non-controlling interests in partnerships)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income (controlling interest)</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share—diluted</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gridSpan w:val="2"/>
            <w:vMerge w:val="continue"/>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shares outstanding—basic</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460" w:type="dxa"/>
            <w:vAlign w:val="bottom"/>
            <w:gridSpan w:val="2"/>
          </w:tcPr>
          <w:p>
            <w:pPr>
              <w:spacing w:after="0"/>
              <w:rPr>
                <w:sz w:val="20"/>
                <w:szCs w:val="20"/>
                <w:color w:val="auto"/>
              </w:rPr>
            </w:pPr>
            <w:r>
              <w:rPr>
                <w:rFonts w:ascii="Arial" w:cs="Arial" w:eastAsia="Arial" w:hAnsi="Arial"/>
                <w:sz w:val="18"/>
                <w:szCs w:val="18"/>
                <w:color w:val="auto"/>
              </w:rPr>
              <w:t>Average shares outstanding—diluted</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88"/>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w w:val="92"/>
              </w:rPr>
              <w:t>Change in net realized and unrealized gain (loss) on derivative securities, net of tax</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net unrealized gain (loss) on investment securities, net of tax</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Comprehensive income (non-controlling interests)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(148.7)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(controlling interest)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millions, except par value)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Investment advisory fees receivable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marketable securities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Unsettled fund share receivables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Acquired client relationships, net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2,121.9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2,117.3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5,279.8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5,218.9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Unsettled fund share payables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Payables to related parties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Senior bank debt</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Senior convertible securities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Junior convertible trust preferred securities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2,498.2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2,267.5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3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 ($.01 par value, 153.0 shares authorized; 53.9 shares outstanding in 2010 and 2011)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1,011.8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1,176.7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Less: treasury stock, at cost (2.3 shares in 2010 and 2.5 shares in 2011)</w:t>
            </w: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(293.3)</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vMerge w:val="restart"/>
          </w:tcPr>
          <w:p>
            <w:pPr>
              <w:ind w:left="5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5,279.8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5,218.9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292"/>
              <w:spacing w:after="0"/>
              <w:rPr>
                <w:sz w:val="20"/>
                <w:szCs w:val="20"/>
                <w:color w:val="auto"/>
              </w:rPr>
            </w:pPr>
            <w:r>
              <w:rPr>
                <w:rFonts w:ascii="Arial" w:cs="Arial" w:eastAsia="Arial" w:hAnsi="Arial"/>
                <w:sz w:val="14"/>
                <w:szCs w:val="14"/>
                <w:b w:val="1"/>
                <w:bCs w:val="1"/>
                <w:color w:val="auto"/>
                <w:w w:val="87"/>
              </w:rPr>
              <w:t>Total Stockholders' Equity</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Stock at</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6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interests in</w:t>
            </w: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interests</w:t>
            </w: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partnerships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2008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2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813.7</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(703.0)</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180.7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Stock issued under option and other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incentive plans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(75.3)</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111.4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36.1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of option exercises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Issuance costs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Affiliate equity</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(132.8)</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Settlement of forward equity sale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agreements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(25.3)</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169.6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144.3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 arrangements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(119.6)</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Affiliates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Other changes in non-controlling</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interests in partnerships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December 31, 2009</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612.1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46.0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873.2</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(422.0)</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281.8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90.1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1,481.7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Stock issued under option and other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incentive plans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(83.3)</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128.7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of option exercises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Issuance costs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Affiliate equity value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(76.9)</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Settlement of forward equity sale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agreements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294.7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294.7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 arrangements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w w:val="97"/>
              </w:rPr>
              <w:t>Conversion of zero coupon convertible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notes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47.4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47.4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(101.0)</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Investments in Affiliates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146.8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238.5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Other changes in non-controlling</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interests in partnerships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(85.7)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138.6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153.1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287.3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0.5</w:t>
            </w:r>
          </w:p>
        </w:tc>
        <w:tc>
          <w:tcPr>
            <w:tcW w:w="1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980.5</w:t>
            </w: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100.5</w:t>
            </w:r>
          </w:p>
        </w:tc>
        <w:tc>
          <w:tcPr>
            <w:tcW w:w="160" w:type="dxa"/>
            <w:vAlign w:val="bottom"/>
          </w:tcPr>
          <w:p>
            <w:pPr>
              <w:spacing w:after="0"/>
              <w:rPr>
                <w:sz w:val="12"/>
                <w:szCs w:val="12"/>
                <w:color w:val="auto"/>
              </w:rPr>
            </w:pPr>
          </w:p>
        </w:tc>
        <w:tc>
          <w:tcPr>
            <w:tcW w:w="180" w:type="dxa"/>
            <w:vAlign w:val="bottom"/>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w w:val="89"/>
              </w:rPr>
              <w:t>1,011.8</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(293.3)</w:t>
            </w: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575.3</w:t>
            </w:r>
          </w:p>
        </w:tc>
        <w:tc>
          <w:tcPr>
            <w:tcW w:w="1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2,375.3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 issued under option and other</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incentive plans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(37.6)</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Tax benefit of option exercises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costs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Changes in Affiliate equity value</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 arrangements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4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(173.8)</w:t>
            </w: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Affiliates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Arial" w:cs="Arial" w:eastAsia="Arial" w:hAnsi="Arial"/>
                <w:sz w:val="14"/>
                <w:szCs w:val="14"/>
                <w:color w:val="auto"/>
              </w:rPr>
              <w:t>Repurchase of common shares</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(61.0)</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(50.5)</w:t>
            </w: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December 31, 2011</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927.5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9"/>
              </w:rPr>
              <w:t>1,176.7</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(288.7)</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633.6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2,499.6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4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w w:val="8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 from operating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212.9</w:t>
            </w:r>
          </w:p>
        </w:tc>
        <w:tc>
          <w:tcPr>
            <w:tcW w:w="1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287.3</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359.6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flow from operating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Amortization of intangible assets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Amortization of issuance costs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Depreciation and other amortization</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Deferred income tax provision</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Imputed interest expense and contingent payment arrangements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from equity method investments, net of amortization</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Distributions received from equity method investments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Affiliate equity expense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Other adjustments</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(42.6)</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(Increase) decrease in investment advisory fees receivable</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(Increase) decrease in prepaids and other current assets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(Increase) decrease in other assets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Decrease in unsettled fund shares receivable</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Increase (decrease) in unsettled fund shares payable</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Increase (decrease) in accounts payable, accrued liabilities and other long-term liabilities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vMerge w:val="restart"/>
          </w:tcPr>
          <w:p>
            <w:pPr>
              <w:ind w:left="280"/>
              <w:spacing w:after="0"/>
              <w:rPr>
                <w:sz w:val="20"/>
                <w:szCs w:val="20"/>
                <w:color w:val="auto"/>
              </w:rPr>
            </w:pPr>
            <w:r>
              <w:rPr>
                <w:rFonts w:ascii="Arial" w:cs="Arial" w:eastAsia="Arial" w:hAnsi="Arial"/>
                <w:sz w:val="14"/>
                <w:szCs w:val="14"/>
                <w:color w:val="auto"/>
              </w:rPr>
              <w:t>Cash flow from operating activities</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Cash flow used in investing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Investments in Affiliates</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(139.3)</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(916.1)</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 of fixed assets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Purchase of investment securities</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(47.7)</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(64.0)</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Sale of investment securities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vMerge w:val="restart"/>
          </w:tcPr>
          <w:p>
            <w:pPr>
              <w:ind w:left="280"/>
              <w:spacing w:after="0"/>
              <w:rPr>
                <w:sz w:val="20"/>
                <w:szCs w:val="20"/>
                <w:color w:val="auto"/>
              </w:rPr>
            </w:pPr>
            <w:r>
              <w:rPr>
                <w:rFonts w:ascii="Arial" w:cs="Arial" w:eastAsia="Arial" w:hAnsi="Arial"/>
                <w:sz w:val="14"/>
                <w:szCs w:val="14"/>
                <w:color w:val="auto"/>
              </w:rPr>
              <w:t>Cash flow used in investing activities</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(181.5)</w:t>
            </w: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(973.8)</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Cash flow from (used in)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Borrowings of senior bank debt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8"/>
              </w:rPr>
              <w:t>1,191.5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Repayments of senior bank debt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(375.5)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(731.5)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Issuance costs</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Excess tax benefit from exercise of stock options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Settlement of treasury lock</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Settlement of forward equity sale agreement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Note payments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(28.8)</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ind w:left="140"/>
              <w:spacing w:after="0"/>
              <w:rPr>
                <w:sz w:val="20"/>
                <w:szCs w:val="20"/>
                <w:color w:val="auto"/>
              </w:rPr>
            </w:pPr>
            <w:r>
              <w:rPr>
                <w:rFonts w:ascii="Arial" w:cs="Arial" w:eastAsia="Arial" w:hAnsi="Arial"/>
                <w:sz w:val="14"/>
                <w:szCs w:val="14"/>
                <w:color w:val="auto"/>
              </w:rPr>
              <w:t>Affiliate equity issuances and repurchases</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Cash flow from (used in) financing activities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545.0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(503.8)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vMerge w:val="restart"/>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(136.9)</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ind w:left="140"/>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rPr>
              <w:t>Cash and cash equivalents at end of period</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259.5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313.3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Interest paid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Income taxes paid</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financing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Payables recorded for Affiliate equity repurchases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Payables recorded under contingent payment arrangements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40"/>
              <w:spacing w:after="0" w:line="149" w:lineRule="exact"/>
              <w:rPr>
                <w:sz w:val="20"/>
                <w:szCs w:val="20"/>
                <w:color w:val="auto"/>
              </w:rPr>
            </w:pPr>
            <w:r>
              <w:rPr>
                <w:rFonts w:ascii="Arial" w:cs="Arial" w:eastAsia="Arial" w:hAnsi="Arial"/>
                <w:sz w:val="14"/>
                <w:szCs w:val="14"/>
                <w:color w:val="auto"/>
              </w:rPr>
              <w:t>Stock issued for conversion of zero coupon senior convertible note</w:t>
            </w:r>
          </w:p>
        </w:tc>
        <w:tc>
          <w:tcPr>
            <w:tcW w:w="1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issued for investments in Affiliates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tcPr>
          <w:p>
            <w:pPr>
              <w:ind w:left="140"/>
              <w:spacing w:after="0"/>
              <w:rPr>
                <w:sz w:val="20"/>
                <w:szCs w:val="20"/>
                <w:color w:val="auto"/>
              </w:rPr>
            </w:pPr>
            <w:r>
              <w:rPr>
                <w:rFonts w:ascii="Arial" w:cs="Arial" w:eastAsia="Arial" w:hAnsi="Arial"/>
                <w:sz w:val="14"/>
                <w:szCs w:val="14"/>
                <w:color w:val="auto"/>
              </w:rPr>
              <w:t>Stock issued for settlement of forward equity sale agreement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 and Nature of Operations</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Affiliated Managers Group, Inc. ("AMG" or the "Company") is a global asset management company with equity investments in a diverse group of boutique investment management firms ("Affiliates"). AMG's Affiliates provide investment management services globally to mutual funds, institutional clients and high net worth individuals. Fees for services are largely asset-based and, as a result, the Company's revenue may fluctuate based on the performance of financial markets.</w:t>
      </w:r>
    </w:p>
    <w:p>
      <w:pPr>
        <w:spacing w:after="0" w:line="197"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Affiliates are either organized as limited partnerships, limited liability partnerships, limited liability companies, or corporations. AMG generally has contractual arrangements with its Affiliates whereby a percentage of revenue is customarily allocable to fund Affiliate operating expenses, including compensation (the "Operating Allocation"), while the remaining portion of revenue (the "Owners' Allocation") is allocable to AMG and the other partners or members, generally with a priority to AMG. In certain other cases, the Affiliate is not subject to a revenue sharing arrangement, but instead operates on a profit-based model. In these cases, AMG participates fully in any increase or decrease in the revenue or expenses of such firms. In situations where AMG holds a minority equity interest, AMG generally has a revenue sharing arrangement that allocates to AMG a percentage of the Affiliate's revenue. The remaining revenue is used to pay operating expenses and profit distributions to the other owners.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financial statements are prepared in accordance with accounting principles generally accepted in the United States ("GAAP"). All dollar amounts, except per share data in the text and tables herein, are stated in millions unless otherwise indicated. Certain reclassifications have been made to prior years' financial statements to conform to the current year's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Estimates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included in the financial statements and disclosure of contingent assets and liabilities at the date of the financial statements.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evaluates the risk, rewards, and significant terms of each of its Affiliate and other investments to determine the appropriate method of accounting. Majority-owned or otherwise controlled investments are consolidated. In many of its Affiliate investments, AMG is, directly or indirectly, the sole general partner (in the case of Affiliates which are limited partnerships), managing partner (in the case of Affiliates which are limited liability partnerships), sole manager member (in the case of Affiliates which are limited liability companies) or principal shareholder (in the case of Affiliates which are corporations). As a result, the Company generally consolidates its Affiliate investments. Investments that are determined to be variable interest entities ("VIEs") are consolidated if AMG or a consolidated Affiliate is the primary beneficiary of the investment.</w:t>
      </w:r>
    </w:p>
    <w:p>
      <w:pPr>
        <w:spacing w:after="0" w:line="174"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color w:val="auto"/>
        </w:rPr>
        <w:t>For consolidated Affiliates, the portion of the income allocated to owners other than AMG is included in Net income (non-controlling interests) in the Consolidated Statements of Income. Non-controlling interests on the Consolidated Balance Sheets includes capital and undistributed income owned by the managers of the consolidated Affiliates. All material intercompany balances and transactions have been eliminated.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AMG applies the equity method of accounting to investments where AMG or an Affiliate does not hold a majority equity interest but has the ability to exercise significant influence (generally at least a 20% interest or a general partner interest) over operating and financial matters. AMG or an Affiliate also applies the equity method when their unaffiliated minority shareholders or partners have certain rights to remove AMG or an Affiliate or have rights to participate in substantive operating decisions (e.g. approval of annual operating budgets, major financings, selection of senior management, etc.). For equity method investments, AMG's or the Affiliate's portion of income before taxes is included in Income from equity method investments. Other investments in which AMG or an Affiliate own less than a 20% interest and does not exercise significant influence are accounted for under the cost method. Under the cost method, income is recognized as dividends when, and if, declared.</w:t>
      </w:r>
    </w:p>
    <w:p>
      <w:pPr>
        <w:spacing w:after="0" w:line="17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effect of any changes in the Company's equity interests in its consolidated Affiliates resulting from the issuance or repurchase of an Affiliate's equity by the Company or one of its Affiliates is included as a component of stockholders' equity, net of the related income tax effect in the period of the change.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Cash and Cash Equivalents</w:t>
      </w:r>
    </w:p>
    <w:p>
      <w:pPr>
        <w:spacing w:after="0" w:line="225"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Investments in Marketable Securities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Investments in marketable securities are classified as either trading or available-for-sale and carried at fair value. Unrealized gains or losses on investments classified as available-for-sale are reported, net of tax, as a separate component of Accumulated other comprehensive income in Equity until realized. Unrealized gains or losses related to trading securities are reported within Other operating expenses in the period they occur. If a decline in the fair value of an available-for-sale investment is determined to be other than temporary, the carrying amount of the asset is reduced to its fair value, and the difference is charged to income in the period incurred.</w:t>
      </w:r>
    </w:p>
    <w:p>
      <w:pPr>
        <w:spacing w:after="0" w:line="19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ind w:right="280" w:firstLine="341"/>
        <w:spacing w:after="0" w:line="323" w:lineRule="auto"/>
        <w:rPr>
          <w:sz w:val="20"/>
          <w:szCs w:val="20"/>
          <w:color w:val="auto"/>
        </w:rPr>
      </w:pPr>
      <w:r>
        <w:rPr>
          <w:rFonts w:ascii="Arial" w:cs="Arial" w:eastAsia="Arial" w:hAnsi="Arial"/>
          <w:sz w:val="15"/>
          <w:szCs w:val="15"/>
          <w:color w:val="auto"/>
        </w:rPr>
        <w:t>Assets of consolidated partnerships are reported within Prepaid expenses and other current assets. A majority of these assets are held by investors that are unrelated to the Company, and are therefore reported within Redeemable non-controlling interests. Income from these partnerships is presented as Investment (income) loss from Affiliate investments in partnerships (prior to 2011) and is presented in Investment and other (income) loss in 2011. The portion of this income or loss that is attributable to investors that are unrelated to the Company is reported as Net (income) loss (non-controlling interests in partnerships).</w:t>
      </w:r>
    </w:p>
    <w:p>
      <w:pPr>
        <w:spacing w:after="0" w:line="15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Investments in partnerships that are not consolidated are reported within Other assets, with income from these partnerships presented as Investment and other (income) loss. Investments accounted for under the cost method are reported within Other assets, with dividend income presented, when and if declared, as Investment and other (income)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Fixed Assets</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Fixed assets are recorded at cost and depreciated using the straight-line method over their estimated useful lives. The estimated useful lives of office equipment and furniture and fixtures range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three to ten years. Computer software developed or obtained for internal use is amortized using the straight-line method over the estimated useful life of the software, generally three years or less. Leasehold improvements are amortized over the shorter of their estimated useful lives or the term of the lease, and the building is amortized over 39 years. The costs of improvements that extend the life of a fixed asset are capitalized, while the cost of repairs and maintenance are expensed as incurred. Land is not depreciated.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Leases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and its Affiliates currently lease office space and equipment under various leasing arrangements. As these leases expire, it can be expected that in the normal course of business they will be renewed or replaced. Leases are classified as either capital leases or operating leases, as appropriate. Most lease agreements classified as operating leases contain renewal options, rent escalation clauses or other inducements provided by the landlord. Rent expense is accrued to recognize lease escalation provisions and inducements provided by the landlord, if any, on a straight-line basis over the lease term.</w:t>
      </w:r>
    </w:p>
    <w:p>
      <w:pPr>
        <w:spacing w:after="0" w:line="16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Equity Investments in Affiliates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equity method investments, the Company's portion of income or loss before taxes is included in Income from equity method investments. The Company's share of income taxes incurred directly by Affiliates accounted for under the equity method are recorded within Income taxes—current because these taxes generally represent the Company's share of the taxes incurred by the Affiliate. Deferred income taxes incurred as a direct result of the Company's investment in Affiliates accounted for under the equity method have been included in Income taxes—intangible-related deferred (see Note 13). The associated deferred tax liabilities have been classified as a component of Deferred income taxes in the Consolidated Balance Sheet.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periodically evaluates its equity method investments for impairment. In such impairment evaluations, the Company assesses if the fair value of the investment has declined below its carrying value for a period considered to be other than temporary. If the Company determines that a decline in fair value below the carrying value of the investment is other than temporary, then the reduction in carrying value would be recognized in Income from equity method investments in the Consolidated Statements of Income.</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6"/>
          <w:szCs w:val="16"/>
          <w:i w:val="1"/>
          <w:iCs w:val="1"/>
          <w:color w:val="auto"/>
        </w:rPr>
        <w:t>Acquired Client Relationships and Goodwill</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acquired Affiliate has identifiable assets arising from contractual or other legal rights with their clients ("acquired client relationships"). In determining the value of acquired client relationships, the Company analyzes the net present value of each acquired Affiliate's existing client relationships based on a number of factors including: the Affiliate's historical and potential future operating performance; the Affiliate's historical and potential future rates of attrition among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198"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has determined that certain of its mutual fund acquired client relationships meet the criteria to be considered indefinite-lived assets because the Company expects both the renewal of these contracts and the cash flows generated by these assets to continue indefinitely. Accordingly,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Company does not amortize these intangible assets, but instead reviews these assets annually or more frequently whenever events or circumstances occur indicating that the recorded indefinite-lived assets may be impaired. Each reporting period, the Company assesses whether events or circumstances have occurred which indicate that the indefinite life criteria are no longer met. If the indefinite life criteria are no longer met, the Company would assesses whether the carrying value of the assets exceeds its fair value, and an impairment loss would be recorded in an amount equal to any such excess.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expected useful lives of definite-lived acquired client relationships are analyzed each period and determined based on an analysis of the historical and projected attrition rates of each Affiliate's existing clients, and other factors that may influence the expected future economic benefit the Company will derive from the relationships. The Company tests for the possible impairment of definite-lived intangible assets annually or more frequently whenever events or changes in circumstances indicate that the carrying amount of the asset is not recoverable. If such indicators exist, the Company compares the undiscounted cash flows related to the asset to the carrying value of the asset. If the carrying value is greater than the undiscounted cash flow amount, an impairment charge is recorded in the Consolidated Statements of Income for amounts necessary to reduce the carrying value of the asset to fair value.</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Goodwill represents the future economic benefits arising from assets acquired in a business combination that are not individually identified and separately recognized, and is reported within the segments in which the business operates. Goodwill is not amortized, but is instead reviewed for impairment. The Company assesses goodwill for impairment at least annually during the third quarter, or more frequently whenever events or circumstances occur indicating that the recorded goodwill may be impaired. If the carrying amount of goodwill exceeds the fair value, an impairment loss may be recorded.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Revenue Recognition</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Company's consolidated revenue primarily represents advisory fees billed monthly, quarterly and annually by Affiliates for managing the assets of clients. Asset-based advisory fees are recognized monthly as services are rendered and are based upon a percentage of the value of client assets managed. Any fees collected in advance are deferred and recognized as income over the period earned. Performance based advisory fees are generally assessed as a percentage of the investment performance realized on a client's account, generally over an annual period. Performance-based advisory fees are recognized when they are earned (i.e. when they become billable to customers) based on the contractual terms of agreements and when collection is reasonably assured. Also included in revenue are commissions earned by broker dealers, recorded on a trade date basis, and other service fees recorded as earned.</w:t>
      </w:r>
    </w:p>
    <w:p>
      <w:pPr>
        <w:spacing w:after="0" w:line="17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Issuance Costs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Issuance costs incurred in securing credit facility financing are amortized over the remaining term of the credit facility. Costs incurred to issue the 2008 senior convertible notes and the junior convertible trust preferred securities are amortized over the earlier of the period to the first investor put date or the stated term of the security. Costs associated with financial instruments that are not required to be accounted for separately as derivative instruments are charged directly to stockholders' equity.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Derivative Financial Instruments</w:t>
      </w:r>
    </w:p>
    <w:p>
      <w:pPr>
        <w:spacing w:after="0" w:line="225"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The Company is exposed to interest rate risk inherent in its variable rate debt obligations. The Company's risk management strategy may utilize financial instruments, specifically interest rate derivative contracts to hedge certain interest rate exposures. For example, the Company may agree with a counter party (typically a major commercial bank) to exchange the difference between fixed-rate and floating-rate interest amounts calculated by reference to an agreed notional principal amount. In entering into these contracts, the Company intends to offset cash flow gains and losses that occur on its existing debt obligations with cash flow gains and losses on the contracts hedging these obligations.</w:t>
      </w:r>
    </w:p>
    <w:p>
      <w:pPr>
        <w:spacing w:after="0" w:line="17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From time to time, derivatives are used to hedge the anticipated issuance of fixed-rate debt. These exposures are hedged with treasury rate locks (e.g., a 10-year treasury lock hedging the anticipated underlying U.S. Treasury interest rate related to issuance of 10-year debt). The contracts are designated as cash flow hedges.</w:t>
      </w:r>
    </w:p>
    <w:p>
      <w:pPr>
        <w:spacing w:after="0" w:line="194"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Company records all derivatives on the balance sheet at fair value. If the Company's derivatives qualify as cash flow hedges, the effective portion of the unrealized gain or loss is recorded in Accumulated other comprehensive income as a separate component of stockholders' equity and reclassified into earnings when the hedged cash flows are recorded in earnings. Hedge effectiveness is generally measured by comparing the present value of the cumulative change in the expected future variable cash flows of the hedged contract with the present value of the cumulative change in the expected future variable cash flows of the hedged item. To the extent that the critical terms of the hedged item and the derivative are not identical, hedge ineffectiveness would be reported in earnings as Interest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Contingent Payment Arrangements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periodically enters into contingent payment arrangements in connection with its business combinations. In these arrangements, the Company agrees to pay additional consideration to the sellers to the extent that certain levels of revenue growth are achieved. The Company estimates the fair value of the obligation at the time the business combination is consummated, and accretes the obligation to its expected payment amount over time. If the Company's expected payment amount changes, the obligation is increased or reduced in the current period. Both the changes to expected payments and the accretion of these obligations to their expected payment amounts are reflected within Imputed interest expense and contingent payment arrangements in the Company's Consolidated Statements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Income Taxes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 accounts for income taxes using the liability method. Under this method, deferred taxes are recognized for the expected future tax consequences of temporary differences between the book carrying amounts and tax bases of the Company's assets and liabilities. Historically, deferred tax liabilities have been attributable to intangible assets and convertible securities. Deferred tax assets have been attributable to state and foreign loss carryforwards, deferred revenue, and accrued liabilities.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measuring the amount of deferred taxes each period, the Company must project the impact on its future tax payments of any reversal of deferred tax liabilities (which would increase the Company's tax payments), and any use of its state and foreign carryforwards (which would decrease its tax payments). In forming these estimates, the Company makes assumptions about future federal, state and foreign income tax rates and the apportionment of future taxable income to jurisdictions in which the Company has operations. An increase or decrease in federal or state income tax rates could have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material impact on the Company's deferred income tax liabilities and assets and would result in a current income tax charge or benefit.</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recognizes the financial statement benefit of an uncertain tax position only after considering the probability that a tax authority would sustain the position in an examination. For tax positions meeting a "more-likely-than-not" threshold, the amount recognized in the financial statements is the benefit expected to be realized upon settlement with the tax authority. For tax positions not meeting the threshold, no financial statement benefit is recognized. The Company recognizes interest and other charges relating to unrecognized tax benefits as additional tax expense.</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case of the Company's deferred tax assets, the Company regularly assesses the need for valuation allowances, which would reduce these assets to their recoverable amounts. In forming these estimates, the Company makes assumptions of future taxable income that may be generated to utilize these assets, which have limited lives. If the Company determines that these assets will be realized, the Company records an adjustment to the valuation allowance, which would decrease tax expense in the period such determination was made. Likewise, should the Company determine that it would be unable to realize additional amounts of deferred tax assets, an adjustment to the valuation allowance would be charged to tax expense in the period such determination was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Foreign Currency Translation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assets and liabilities of Affiliates whose functional currency is not the United States dollar are translated into U.S. dollars using exchange rates in effect as of the balance sheet date. The revenue and expenses of these Affiliates are translated into U.S. dollars using average exchange rates for the relevant period. Because of the permanent nature of the Company's investments, net translation exchange gains and losses are excluded from Net income but are recorded in other comprehensive income. Foreign currency transaction gains and losses are reflected in Investment and other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Share-Based Compensation Plans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recognizes as an expense the cost of all share-based payments to directors, senior management and employees, including grants of stock options, to be recognized in the financial statements based on their fair values over the requisite service period.</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reports any tax benefits realized upon the exercise of stock options that are in excess of the expense recognized for reporting purposes as a financing activity in the Company's Consolidated Statements of Cash Flows. If the tax benefit realized is less than the expense, the tax shortfall is recognized in stockholders' equity. To the extent the expense exceeds available windfall tax benefits, it is recognized in the Consolidated Statements of Income. The Company was permitted to calculate its cumulative windfall tax benefits for the purposes of accounting for future tax shortfalls. The Company elected to apply the long-form method for determining the pool of windfall tax benefits.</w:t>
      </w:r>
    </w:p>
    <w:p>
      <w:pPr>
        <w:spacing w:after="0" w:line="170"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Recent Accounting Developments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September 2011, the Financial Accounting Standards Board issued new guidance on testing goodwill for impairment. The new guidance provides the option of performing a qualitative assessment before proceeding with a quantitative goodwill impairment test. Following an assessment of qualitative factors, if an entity determines that it is more likely than not that the fair value of a reporting unit is greater than its carrying amount, including goodwill, then a quantitative assessment is unnecessary. This guidance is effective for annual and interim goodwill impairment tests performed for fiscal years beginning after December 15, 2011, with early adoption permitted. The Company early-adopted this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guidance for its annual goodwill impairment testing which was performed in the third quarter of 2011. Adoption of this new guidance did not have a material impact on the Company's Consolidated Financial Statements.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June 2011, the Financial Accounting Standards Board issued new guidance on the presentation of comprehensive income. This new guidance requires the components of Net income and Other comprehensive income to be either presented in one continuous statement, or in two separate, but consecutive statements. The new guidance does not change the items that are recognized in Net income or Other comprehensive income. This new guidance is effective for interim and fiscal periods beginning after December 15, 2011. The Company early-adopted this guidance in the fourth quarter of 2011. Adoption of this new guidance did not have a material impact on the Company's Consolidated Financial Statements.</w:t>
      </w:r>
    </w:p>
    <w:p>
      <w:pPr>
        <w:spacing w:after="0" w:line="170" w:lineRule="exact"/>
        <w:rPr>
          <w:sz w:val="20"/>
          <w:szCs w:val="20"/>
          <w:color w:val="auto"/>
        </w:rPr>
      </w:pPr>
    </w:p>
    <w:p>
      <w:pPr>
        <w:jc w:val="both"/>
        <w:ind w:right="500" w:firstLine="351"/>
        <w:spacing w:after="0" w:line="256" w:lineRule="auto"/>
        <w:rPr>
          <w:sz w:val="20"/>
          <w:szCs w:val="20"/>
          <w:color w:val="auto"/>
        </w:rPr>
      </w:pPr>
      <w:r>
        <w:rPr>
          <w:rFonts w:ascii="Arial" w:cs="Arial" w:eastAsia="Arial" w:hAnsi="Arial"/>
          <w:sz w:val="18"/>
          <w:szCs w:val="18"/>
          <w:color w:val="auto"/>
        </w:rPr>
        <w:t>In May 2011, the Financial Accounting Standards Board issued an update to the fair value measurements and disclosures guidance. The new guidance clarifies existing fair value measurement principles and expands certain disclosure requirements, particularly for measurements categorized as Level 3. The amendment is effective for interim and fiscal periods beginning after December 15, 2011. Adoption of this new guidance is not expected to have a material impact on the Company's Consolidated Financial Statements.</w:t>
      </w:r>
    </w:p>
    <w:p>
      <w:pPr>
        <w:spacing w:after="0" w:line="191"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investments. The Company maintains cash and cash equivalents, investments and, at times, certain financial instruments with various financial institutions. These financial institutions are typically located in cities in which AMG and its Affiliates operate. For AMG and certain Affiliates, cash deposits at a financial institution may exceed Federal Deposit Insurance Corporation insurance limits.</w:t>
      </w:r>
    </w:p>
    <w:p>
      <w:pPr>
        <w:spacing w:after="0" w:line="191"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Marketable Securities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Investment in marketable securities at December 31, 2010 and 2011 were $116.0 million and $100.4 million, respectively. These investments are comprised of the Company's investments in Value Partners Group Limited ("Value Partners"), a publicly-traded asset management firm based in Hong Kong, and investments held by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is a summary of the cost, gross unrealized gains and losses and fair value of investments classified as available-for-sale at December 31, 2010 and 2011:</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 2010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0"/>
              </w:rPr>
              <w:t>Gross Unrealized</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18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Gains</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Losses</w:t>
            </w:r>
          </w:p>
        </w:tc>
        <w:tc>
          <w:tcPr>
            <w:tcW w:w="200" w:type="dxa"/>
            <w:vAlign w:val="bottom"/>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45.6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December 31, 2011</w:t>
            </w:r>
          </w:p>
        </w:tc>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26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Cost</w:t>
            </w:r>
          </w:p>
        </w:tc>
        <w:tc>
          <w:tcPr>
            <w:tcW w:w="22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88"/>
              </w:rPr>
              <w:t>Gross Unrealized</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18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top w:val="single" w:sz="8" w:color="auto"/>
            </w:tcBorders>
            <w:gridSpan w:val="2"/>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(12.7)</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40" w:type="dxa"/>
            <w:vAlign w:val="bottom"/>
            <w:vMerge w:val="restart"/>
          </w:tcPr>
          <w:p>
            <w:pPr>
              <w:jc w:val="right"/>
              <w:ind w:right="612"/>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December 31, 2011, the Company has invested $79.6 million in Value Partners, representing 7.8% of the outstanding common stock. In the fourth quarter of 2011, the investment in Value Partners declined, resulting in an unrealized loss at December 31, 2011. The Company intends to hold this investment for a reasonable period of time sufficient for a forecasted recovery of fair value.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did not realize any gains or losses on investments classified as available-for-sale for the years ended December 31, 2010 and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Securities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is a summary of the cost, gross unrealized gains and losses and fair value of investments classified as trading securities at December 31, 2010 and 2011:</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 2010</w:t>
      </w:r>
    </w:p>
    <w:p>
      <w:pPr>
        <w:spacing w:after="0" w:line="200" w:lineRule="exact"/>
        <w:rPr>
          <w:sz w:val="20"/>
          <w:szCs w:val="20"/>
          <w:color w:val="auto"/>
        </w:rPr>
      </w:pP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6"/>
              </w:rPr>
              <w:t>Gross Unrealized</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Losses</w:t>
            </w:r>
          </w:p>
        </w:tc>
        <w:tc>
          <w:tcPr>
            <w:tcW w:w="200" w:type="dxa"/>
            <w:vAlign w:val="bottom"/>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2011</w:t>
            </w: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6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6"/>
              </w:rPr>
              <w:t>Gross Unrealized</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Losses</w:t>
            </w:r>
          </w:p>
        </w:tc>
        <w:tc>
          <w:tcPr>
            <w:tcW w:w="200" w:type="dxa"/>
            <w:vAlign w:val="bottom"/>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the Company's realized gains and losses on investments classified as trading securities at December 31, 2010 and 2011:</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670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Gains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gains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7"/>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Method Investments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December 31, 2010 and 2011, the Company has invested $27.4 million and $14.6 million, respectively. During the twelve months ended December 31, 2011, the Company determined that the value of a cost method investment had been reduced to zero and recorded a $12.8 million expense in Investment and other (income) loss (allocated to the Company's High Net Worth distribution channel—see Note 26).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Investments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investments consist of investments in funds advised by Affiliates. As of December 31, 2010 and 2011, the Company's other investments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$124.5 million and $145.3 million, respectively. These assets are reported within Prepaid expenses and other current assets ($18.3 million and $31.2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and 2011, respectively) and Other assets ($106.2 million and $114.1 million at December 31, 2010 and 2011, respectively)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Consolidated Balance Sheets. The income or loss related to these investments is classified within Investment and other income in the Consolidated Statements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13"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Unsettled Fund Share Receivables and Payables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Unsettled fund share receivables and payables are created by the normal settlement periods on transactions initiated by certain clients of Affiliate funds domiciled in the United Kingdom. The gross presentation of the receivable and offsetting payable reflects the legal relationship between the underlying investor and the Company.</w:t>
      </w:r>
    </w:p>
    <w:p>
      <w:pPr>
        <w:spacing w:after="0" w:line="188"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Company determines the fair value of certain investment securities and other financial and nonfinancial assets and liabilities. Fair value is determined based on the price that would be received for an asset or paid to transfer a liability in the most advantageous market, utilizing a hierarchy of three different valuation techniques:</w:t>
      </w:r>
    </w:p>
    <w:p>
      <w:pPr>
        <w:spacing w:after="0" w:line="194" w:lineRule="exact"/>
        <w:rPr>
          <w:sz w:val="20"/>
          <w:szCs w:val="20"/>
          <w:color w:val="auto"/>
        </w:rPr>
      </w:pPr>
    </w:p>
    <w:p>
      <w:pPr>
        <w:ind w:left="1420"/>
        <w:spacing w:after="0"/>
        <w:tabs>
          <w:tab w:leader="none" w:pos="2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market prices for identical instruments in active markets;</w:t>
      </w:r>
    </w:p>
    <w:p>
      <w:pPr>
        <w:spacing w:after="0" w:line="252" w:lineRule="exact"/>
        <w:rPr>
          <w:sz w:val="20"/>
          <w:szCs w:val="20"/>
          <w:color w:val="auto"/>
        </w:rPr>
      </w:pPr>
    </w:p>
    <w:p>
      <w:pPr>
        <w:ind w:left="2360" w:right="1500" w:hanging="944"/>
        <w:spacing w:after="0" w:line="259" w:lineRule="auto"/>
        <w:tabs>
          <w:tab w:leader="none" w:pos="2340" w:val="left"/>
        </w:tabs>
        <w:rPr>
          <w:sz w:val="20"/>
          <w:szCs w:val="20"/>
          <w:color w:val="auto"/>
        </w:rPr>
      </w:pPr>
      <w:r>
        <w:rPr>
          <w:rFonts w:ascii="Arial" w:cs="Arial" w:eastAsia="Arial" w:hAnsi="Arial"/>
          <w:sz w:val="18"/>
          <w:szCs w:val="18"/>
          <w:color w:val="auto"/>
        </w:rPr>
        <w:t>Level 2—</w:t>
        <w:tab/>
        <w:t>Quoted prices for similar instruments in active markets; quoted prices for identical or similar instruments in markets that are not active; and model-derived valuations whose inputs, or significant value drivers, are observable; and</w:t>
      </w:r>
    </w:p>
    <w:p>
      <w:pPr>
        <w:spacing w:after="0" w:line="221" w:lineRule="exact"/>
        <w:rPr>
          <w:sz w:val="20"/>
          <w:szCs w:val="20"/>
          <w:color w:val="auto"/>
        </w:rPr>
      </w:pPr>
    </w:p>
    <w:p>
      <w:pPr>
        <w:ind w:left="2360" w:right="1160" w:hanging="944"/>
        <w:spacing w:after="0" w:line="259" w:lineRule="auto"/>
        <w:tabs>
          <w:tab w:leader="none" w:pos="2340" w:val="left"/>
        </w:tabs>
        <w:rPr>
          <w:sz w:val="20"/>
          <w:szCs w:val="20"/>
          <w:color w:val="auto"/>
        </w:rPr>
      </w:pPr>
      <w:r>
        <w:rPr>
          <w:rFonts w:ascii="Arial" w:cs="Arial" w:eastAsia="Arial" w:hAnsi="Arial"/>
          <w:sz w:val="18"/>
          <w:szCs w:val="18"/>
          <w:color w:val="auto"/>
        </w:rPr>
        <w:t>Level 3—</w:t>
        <w:tab/>
        <w:t>Prices reflecting the Company's own assumptions concerning unobservable inputs to the valuation model. These inputs require significant management judgment and reflect the Company's estimation of assumptions that market participants would use in pricing the asset or liability.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180" w:type="dxa"/>
            <w:vAlign w:val="bottom"/>
          </w:tcPr>
          <w:p>
            <w:pPr>
              <w:spacing w:after="0"/>
              <w:rPr>
                <w:sz w:val="14"/>
                <w:szCs w:val="14"/>
                <w:color w:val="auto"/>
              </w:rPr>
            </w:pPr>
          </w:p>
        </w:tc>
        <w:tc>
          <w:tcPr>
            <w:tcW w:w="3180" w:type="dxa"/>
            <w:vAlign w:val="bottom"/>
            <w:gridSpan w:val="9"/>
          </w:tcPr>
          <w:p>
            <w:pPr>
              <w:ind w:left="100"/>
              <w:spacing w:after="0"/>
              <w:rPr>
                <w:sz w:val="20"/>
                <w:szCs w:val="20"/>
                <w:color w:val="auto"/>
              </w:rPr>
            </w:pPr>
            <w:r>
              <w:rPr>
                <w:rFonts w:ascii="Arial" w:cs="Arial" w:eastAsia="Arial" w:hAnsi="Arial"/>
                <w:sz w:val="14"/>
                <w:szCs w:val="14"/>
                <w:b w:val="1"/>
                <w:bCs w:val="1"/>
                <w:color w:val="auto"/>
              </w:rPr>
              <w:t>Fair Value Measurements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Level 1</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Investments in marketable securities</w:t>
            </w:r>
            <w:r>
              <w:rPr>
                <w:rFonts w:ascii="Arial" w:cs="Arial" w:eastAsia="Arial" w:hAnsi="Arial"/>
                <w:sz w:val="29"/>
                <w:szCs w:val="29"/>
                <w:color w:val="auto"/>
                <w:vertAlign w:val="superscript"/>
              </w:rPr>
              <w:t>(1)</w:t>
            </w:r>
          </w:p>
        </w:tc>
        <w:tc>
          <w:tcPr>
            <w:tcW w:w="1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Trading securities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 for sale securities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80" w:type="dxa"/>
            <w:vAlign w:val="bottom"/>
          </w:tcPr>
          <w:p>
            <w:pPr>
              <w:ind w:left="160"/>
              <w:spacing w:after="0" w:line="256" w:lineRule="exact"/>
              <w:rPr>
                <w:sz w:val="20"/>
                <w:szCs w:val="20"/>
                <w:color w:val="auto"/>
              </w:rPr>
            </w:pPr>
            <w:r>
              <w:rPr>
                <w:rFonts w:ascii="Arial" w:cs="Arial" w:eastAsia="Arial" w:hAnsi="Arial"/>
                <w:sz w:val="18"/>
                <w:szCs w:val="18"/>
                <w:color w:val="auto"/>
              </w:rPr>
              <w:t>Other investments</w:t>
            </w:r>
            <w:r>
              <w:rPr>
                <w:rFonts w:ascii="Arial" w:cs="Arial" w:eastAsia="Arial" w:hAnsi="Arial"/>
                <w:sz w:val="29"/>
                <w:szCs w:val="29"/>
                <w:color w:val="auto"/>
                <w:vertAlign w:val="superscript"/>
              </w:rPr>
              <w:t>(2)</w:t>
            </w: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derivatives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Contingent payment arrangements</w:t>
            </w:r>
            <w:r>
              <w:rPr>
                <w:rFonts w:ascii="Arial" w:cs="Arial" w:eastAsia="Arial" w:hAnsi="Arial"/>
                <w:sz w:val="29"/>
                <w:szCs w:val="29"/>
                <w:color w:val="auto"/>
                <w:vertAlign w:val="superscript"/>
              </w:rPr>
              <w:t>(3)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4"/>
                <w:szCs w:val="24"/>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Obligations to related parties</w:t>
            </w:r>
            <w:r>
              <w:rPr>
                <w:rFonts w:ascii="Arial" w:cs="Arial" w:eastAsia="Arial" w:hAnsi="Arial"/>
                <w:sz w:val="29"/>
                <w:szCs w:val="29"/>
                <w:color w:val="auto"/>
                <w:vertAlign w:val="superscript"/>
              </w:rPr>
              <w:t>(4)</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jc w:val="right"/>
              <w:ind w:right="732"/>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4"/>
              </w:rPr>
              <w:t>December 31, 2011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Measurements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Level 1</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4"/>
              </w:rPr>
              <w:t>Level 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Investments in marketable securities</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Trading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Available for sale securities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Other investments</w:t>
            </w:r>
            <w:r>
              <w:rPr>
                <w:rFonts w:ascii="Arial" w:cs="Arial" w:eastAsia="Arial" w:hAnsi="Arial"/>
                <w:sz w:val="29"/>
                <w:szCs w:val="29"/>
                <w:color w:val="auto"/>
                <w:vertAlign w:val="superscript"/>
              </w:rPr>
              <w:t>(2)</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Contingent payment arrangements</w:t>
            </w:r>
            <w:r>
              <w:rPr>
                <w:rFonts w:ascii="Arial" w:cs="Arial" w:eastAsia="Arial" w:hAnsi="Arial"/>
                <w:sz w:val="29"/>
                <w:szCs w:val="29"/>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87.1</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Obligations to related parties</w:t>
            </w:r>
            <w:r>
              <w:rPr>
                <w:rFonts w:ascii="Arial" w:cs="Arial" w:eastAsia="Arial" w:hAnsi="Arial"/>
                <w:sz w:val="29"/>
                <w:szCs w:val="29"/>
                <w:color w:val="auto"/>
                <w:vertAlign w:val="superscript"/>
              </w:rPr>
              <w:t>(4)</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Interest rate derivatives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Principally investments in equity securities.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investments are reported within Prepaid expenses and other current assets and Other assets.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Contingent payment arrangements reported in Accounts payable and accrued liabilities and Other long-term liabilities.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Obligations to related parties are presented within Payables to related party and Other long-term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the significant assets and liabilities measured at fair value and the fair value methodologies used.</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consist primarily of highly liquid investments in money market funds. Cash investments in actively traded money market funds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consist primarily of investments in funds advised by Affiliates which are valued using NAV and in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Investments in actively traded funds that calculate daily NAVs and actively traded public securities are classified as Level 1. Investments in other funds that hold investments with observable market prices are classified as Level 2.</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are valued using net asset value ("NAV"). Investments in actively traded funds that calculate daily NAVs are classified as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non-public funds that hold investments with observable market prices are classified as Level 2. Investments in funds that hold illiquid securities or that are subject to redemption restrictions are classified as Level 3. The fair value of Level 3 assets is determined using NAV one quarter in arrears (adjusted for current period calls and distributions).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Interest rate derivatives </w:t>
      </w:r>
      <w:r>
        <w:rPr>
          <w:rFonts w:ascii="Arial" w:cs="Arial" w:eastAsia="Arial" w:hAnsi="Arial"/>
          <w:sz w:val="18"/>
          <w:szCs w:val="18"/>
          <w:color w:val="auto"/>
        </w:rPr>
        <w:t>include treasury rate lock contracts and interest rate swaps. The fair value of these assets is determined by model-derived valuations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all significant inputs were observable in active markets.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Contingent payment arrangements </w:t>
      </w:r>
      <w:r>
        <w:rPr>
          <w:rFonts w:ascii="Arial" w:cs="Arial" w:eastAsia="Arial" w:hAnsi="Arial"/>
          <w:sz w:val="18"/>
          <w:szCs w:val="18"/>
          <w:color w:val="auto"/>
        </w:rPr>
        <w:t>represents the present value of the expected future settlement of contingent payment arrangements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business combinations. The fair value of these obligations is determined using an income approach with assumptions made about future cash flows and discount rates.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Obligations to related parties </w:t>
      </w:r>
      <w:r>
        <w:rPr>
          <w:rFonts w:ascii="Arial" w:cs="Arial" w:eastAsia="Arial" w:hAnsi="Arial"/>
          <w:sz w:val="18"/>
          <w:szCs w:val="18"/>
          <w:color w:val="auto"/>
        </w:rPr>
        <w:t>include agreements to repurchase Affiliate equity and liabilities offsetting certain investments which are held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but economically attributable to a related party. The fair value of the agreements to repurchase Affiliate equity is determined using an income approach with assumptions made about future cash flows and discount rates. The liability to a related party is measured based upon certain investments held by the Company, the fair value of which is determined using NAV.</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changes in Level 3 assets and liabilities for the years ended December 31, 2010 and 2011: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2"/>
          </w:tcPr>
          <w:p>
            <w:pPr>
              <w:jc w:val="center"/>
              <w:ind w:right="40"/>
              <w:spacing w:after="0"/>
              <w:rPr>
                <w:sz w:val="20"/>
                <w:szCs w:val="20"/>
                <w:color w:val="auto"/>
              </w:rPr>
            </w:pPr>
            <w:r>
              <w:rPr>
                <w:rFonts w:ascii="Arial" w:cs="Arial" w:eastAsia="Arial" w:hAnsi="Arial"/>
                <w:sz w:val="14"/>
                <w:szCs w:val="14"/>
                <w:b w:val="1"/>
                <w:bCs w:val="1"/>
                <w:color w:val="auto"/>
                <w:w w:val="87"/>
              </w:rPr>
              <w:t>Level 3 Financial Assets and Financial Liabilities at Fair Value</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Net unrealized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gains/losses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relating to</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Net transfers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Balance,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instruments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 and/or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beginning of</w:t>
            </w: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Net realized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still held at the</w:t>
            </w:r>
          </w:p>
        </w:tc>
        <w:tc>
          <w:tcPr>
            <w:tcW w:w="1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Purchases and</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Settlements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 of</w:t>
            </w:r>
          </w:p>
        </w:tc>
        <w:tc>
          <w:tcPr>
            <w:tcW w:w="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end</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period</w:t>
            </w:r>
          </w:p>
        </w:tc>
        <w:tc>
          <w:tcPr>
            <w:tcW w:w="8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gains/losses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reporting date</w:t>
            </w:r>
          </w:p>
        </w:tc>
        <w:tc>
          <w:tcPr>
            <w:tcW w:w="10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76"/>
              </w:rPr>
              <w:t>issuances</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and reductions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Level 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of period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investments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5"/>
              </w:rPr>
              <w:t>84.5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Contingent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payment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w w:val="86"/>
              </w:rPr>
              <w:t>arrangements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91"/>
              </w:rPr>
              <w:t>66.6</w:t>
            </w:r>
            <w:r>
              <w:rPr>
                <w:rFonts w:ascii="Arial" w:cs="Arial" w:eastAsia="Arial" w:hAnsi="Arial"/>
                <w:sz w:val="14"/>
                <w:szCs w:val="14"/>
                <w:color w:val="auto"/>
                <w:w w:val="91"/>
              </w:rPr>
              <w:t>(3)</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to</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related</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(4)</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parties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5"/>
              </w:rPr>
              <w:t>87.2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2"/>
          </w:tcPr>
          <w:p>
            <w:pPr>
              <w:jc w:val="right"/>
              <w:ind w:right="20"/>
              <w:spacing w:after="0"/>
              <w:rPr>
                <w:sz w:val="20"/>
                <w:szCs w:val="20"/>
                <w:color w:val="auto"/>
              </w:rPr>
            </w:pPr>
            <w:r>
              <w:rPr>
                <w:rFonts w:ascii="Arial" w:cs="Arial" w:eastAsia="Arial" w:hAnsi="Arial"/>
                <w:sz w:val="14"/>
                <w:szCs w:val="14"/>
                <w:b w:val="1"/>
                <w:bCs w:val="1"/>
                <w:color w:val="auto"/>
                <w:w w:val="88"/>
              </w:rPr>
              <w:t>Level 3 Financial Assets and Financial Liabilities at Fair Value</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Net unrealized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gains/losses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relating to</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Balance,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instruments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Net transfers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beginning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Net realized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still held at the</w:t>
            </w:r>
          </w:p>
        </w:tc>
        <w:tc>
          <w:tcPr>
            <w:tcW w:w="10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Purchases and</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Settlements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 and/or</w:t>
            </w:r>
          </w:p>
        </w:tc>
        <w:tc>
          <w:tcPr>
            <w:tcW w:w="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end</w:t>
            </w: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period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78"/>
              </w:rPr>
              <w:t>gains/losses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reporting date</w:t>
            </w:r>
          </w:p>
        </w:tc>
        <w:tc>
          <w:tcPr>
            <w:tcW w:w="10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9"/>
              </w:rPr>
              <w:t>issuances</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and reductions</w:t>
            </w:r>
          </w:p>
        </w:tc>
        <w:tc>
          <w:tcPr>
            <w:tcW w:w="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out of Level 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of period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investments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Contingent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payment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w w:val="86"/>
              </w:rPr>
              <w:t>arrangements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to</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related parties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340" w:hanging="531"/>
        <w:spacing w:after="0" w:line="268"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periods prior to 2011, losses on other investments are recorded in Investment loss from Affiliate investments in partnerships. In 2011, gains and losses on Other investments are recorded in Investment and other (income) loss.</w:t>
      </w:r>
    </w:p>
    <w:p>
      <w:pPr>
        <w:spacing w:after="0" w:line="212" w:lineRule="exact"/>
        <w:rPr>
          <w:rFonts w:ascii="Arial" w:cs="Arial" w:eastAsia="Arial" w:hAnsi="Arial"/>
          <w:sz w:val="18"/>
          <w:szCs w:val="18"/>
          <w:color w:val="auto"/>
        </w:rPr>
      </w:pPr>
    </w:p>
    <w:p>
      <w:pPr>
        <w:ind w:left="1680" w:right="100" w:hanging="531"/>
        <w:spacing w:after="0" w:line="259"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Accretion and changes to payment estimates under the Company's contingent payment arrangements are recorded in Imputed interest expense and contingent payment arrangements and foreign currency translation adjustments related to such arrangements are recorded as Other comprehensive income (loss).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2011, the Company changed its contingent payment arrangements for the year ended December 31, 2010 by $6.4 million (see Note 18).</w:t>
      </w:r>
    </w:p>
    <w:p>
      <w:pPr>
        <w:spacing w:after="0" w:line="273" w:lineRule="exact"/>
        <w:rPr>
          <w:rFonts w:ascii="Arial" w:cs="Arial" w:eastAsia="Arial" w:hAnsi="Arial"/>
          <w:sz w:val="15"/>
          <w:szCs w:val="15"/>
          <w:color w:val="auto"/>
        </w:rPr>
      </w:pPr>
    </w:p>
    <w:p>
      <w:pPr>
        <w:ind w:left="1680" w:right="60" w:hanging="531"/>
        <w:spacing w:after="0" w:line="259"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Gains and losses associated with agreements to repurchase Affiliate equity are recorded in Imputed interest expense and contingent payment arrangements. Gains and losses related to liabilities offsetting certain investments are recorded in Investment and other (income) loss.</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There were no significant transfers of financial assets or liabilities between Level 2 and Level 1 in the twelve-month periods ended December 31, 2010 and 2011.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The Company relies on the NAV of certain investments as their fair value. The NAVs that have been provided by the investees have been derived from the fair values of the underlying investments as of the measurement dates. The following table summarizes, as of December 31, 2010 and 2011, the nature of these investments and any related liquidation restrictions or other factors which may impact the ultimate value realized:</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December 31, 2010</w:t>
            </w:r>
          </w:p>
        </w:tc>
        <w:tc>
          <w:tcPr>
            <w:tcW w:w="22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w w:val="94"/>
              </w:rPr>
              <w:t>Unfunded</w:t>
            </w: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w w:val="91"/>
              </w:rPr>
              <w:t>Unfunded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Category of Investment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Commitments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8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Private equity fund-of-funds</w:t>
            </w:r>
            <w:r>
              <w:rPr>
                <w:rFonts w:ascii="Arial" w:cs="Arial" w:eastAsia="Arial" w:hAnsi="Arial"/>
                <w:sz w:val="28"/>
                <w:szCs w:val="28"/>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860" w:type="dxa"/>
            <w:vAlign w:val="bottom"/>
            <w:gridSpan w:val="3"/>
          </w:tcPr>
          <w:p>
            <w:pPr>
              <w:spacing w:after="0" w:line="284" w:lineRule="exact"/>
              <w:rPr>
                <w:sz w:val="20"/>
                <w:szCs w:val="20"/>
                <w:color w:val="auto"/>
              </w:rPr>
            </w:pPr>
            <w:r>
              <w:rPr>
                <w:rFonts w:ascii="Arial" w:cs="Arial" w:eastAsia="Arial" w:hAnsi="Arial"/>
                <w:sz w:val="18"/>
                <w:szCs w:val="18"/>
                <w:color w:val="auto"/>
              </w:rPr>
              <w:t>Other funds</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80" w:hanging="540"/>
        <w:spacing w:after="0" w:line="268" w:lineRule="auto"/>
        <w:tabs>
          <w:tab w:leader="none" w:pos="2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funds primarily invest in a broad range of private equity funds, as well as making direct investments. Distributions will be received as the underlying assets are liquidated over the life of the funds, generally 15 years.</w:t>
      </w:r>
    </w:p>
    <w:p>
      <w:pPr>
        <w:spacing w:after="0" w:line="212" w:lineRule="exact"/>
        <w:rPr>
          <w:rFonts w:ascii="Arial" w:cs="Arial" w:eastAsia="Arial" w:hAnsi="Arial"/>
          <w:sz w:val="18"/>
          <w:szCs w:val="18"/>
          <w:color w:val="auto"/>
        </w:rPr>
      </w:pPr>
    </w:p>
    <w:p>
      <w:pPr>
        <w:ind w:left="2260" w:right="260" w:hanging="540"/>
        <w:spacing w:after="0" w:line="268" w:lineRule="auto"/>
        <w:tabs>
          <w:tab w:leader="none" w:pos="2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are multi-disciplinary funds that invest across various asset classes and strategies including long/short equity, credit and real estate. Investments are generally redeemable on a daily or quarterly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current plans to sell any of these investments.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carrying value of senior bank debt approximates fair value because the debt is a credit facility with variable interest based on selected short-term rates. The fair market value of the 2008 senior convertible notes and the junior convertible trust preferred securities at December 31, 2011 (based on market prices) was $500.0 million and $594.3 million, respectively.</w:t>
      </w:r>
    </w:p>
    <w:p>
      <w:pPr>
        <w:spacing w:after="0" w:line="188"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Sponsored Investment Funds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Affiliates act as the investment manager for certain investment funds that are considered variable interest entities ("VIEs"). In addition to an Affiliate's involvement as the investment manager, Affiliates may also hold investments in these products. Affiliates are not the primary beneficiary of these VIEs as their involvement is limited to that of a service provider and their investment, if any, represents an insignificant interest in the fund's assets under management. As a result, the Company's variable interests will not absorb the majority of the variability of the entity's net assets and therefore the Company has not consolidated these entities.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Preferred Vehicles</w:t>
      </w:r>
    </w:p>
    <w:p>
      <w:pPr>
        <w:spacing w:after="0" w:line="225"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Company established wholly-owned trusts in connection with the 2006 and 2007 issuances of junior convertible trust preferred securities. These entities are considered VIEs and the Company is not the primary beneficiary, therefore these entities are not consolidated in the Company's financial statements.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assets and liabilities of these unconsolidated VIEs and the Company's maximum risk of loss related thereto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As of December 31,</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08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9"/>
              </w:rPr>
              <w:t>Carrying Value and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97"/>
              </w:rPr>
              <w:t>Carrying Value and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8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1"/>
              </w:rPr>
              <w:t>Unconsolidated</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Maximum Exposure</w:t>
            </w:r>
          </w:p>
        </w:tc>
        <w:tc>
          <w:tcPr>
            <w:tcW w:w="180" w:type="dxa"/>
            <w:vAlign w:val="bottom"/>
          </w:tcPr>
          <w:p>
            <w:pPr>
              <w:spacing w:after="0"/>
              <w:rPr>
                <w:sz w:val="12"/>
                <w:szCs w:val="12"/>
                <w:color w:val="auto"/>
              </w:rPr>
            </w:pPr>
          </w:p>
        </w:tc>
        <w:tc>
          <w:tcPr>
            <w:tcW w:w="1200" w:type="dxa"/>
            <w:vAlign w:val="bottom"/>
            <w:gridSpan w:val="6"/>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Unconsolidated</w:t>
            </w:r>
          </w:p>
        </w:tc>
        <w:tc>
          <w:tcPr>
            <w:tcW w:w="20" w:type="dxa"/>
            <w:vAlign w:val="bottom"/>
          </w:tcPr>
          <w:p>
            <w:pPr>
              <w:spacing w:after="0"/>
              <w:rPr>
                <w:sz w:val="12"/>
                <w:szCs w:val="12"/>
                <w:color w:val="auto"/>
              </w:rPr>
            </w:pPr>
          </w:p>
        </w:tc>
        <w:tc>
          <w:tcPr>
            <w:tcW w:w="152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6"/>
              </w:rPr>
              <w:t>VIE Net Assets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4"/>
              </w:rPr>
              <w:t>to Loss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4"/>
                <w:szCs w:val="14"/>
                <w:b w:val="1"/>
                <w:bCs w:val="1"/>
                <w:color w:val="auto"/>
                <w:w w:val="86"/>
              </w:rPr>
              <w:t>VIE Net Assets</w:t>
            </w: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to Loss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gridSpan w:val="2"/>
            <w:shd w:val="clear" w:color="auto" w:fill="CCEEFF"/>
          </w:tcPr>
          <w:p>
            <w:pPr>
              <w:jc w:val="right"/>
              <w:ind w:right="1632"/>
              <w:spacing w:after="0"/>
              <w:rPr>
                <w:sz w:val="20"/>
                <w:szCs w:val="20"/>
                <w:color w:val="auto"/>
              </w:rPr>
            </w:pPr>
            <w:r>
              <w:rPr>
                <w:rFonts w:ascii="Arial" w:cs="Arial" w:eastAsia="Arial" w:hAnsi="Arial"/>
                <w:sz w:val="18"/>
                <w:szCs w:val="18"/>
                <w:color w:val="auto"/>
                <w:w w:val="85"/>
              </w:rPr>
              <w:t>Sponsored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86"/>
              </w:rPr>
              <w:t>3,618.4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00" w:type="dxa"/>
            <w:vAlign w:val="bottom"/>
            <w:gridSpan w:val="2"/>
          </w:tcPr>
          <w:p>
            <w:pPr>
              <w:jc w:val="right"/>
              <w:ind w:right="1952"/>
              <w:spacing w:after="0"/>
              <w:rPr>
                <w:sz w:val="20"/>
                <w:szCs w:val="20"/>
                <w:color w:val="auto"/>
              </w:rPr>
            </w:pPr>
            <w:r>
              <w:rPr>
                <w:rFonts w:ascii="Arial" w:cs="Arial" w:eastAsia="Arial" w:hAnsi="Arial"/>
                <w:sz w:val="18"/>
                <w:szCs w:val="18"/>
                <w:color w:val="auto"/>
                <w:w w:val="86"/>
              </w:rPr>
              <w:t>Trust preferred vehicles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Arial" w:cs="Arial" w:eastAsia="Arial" w:hAnsi="Arial"/>
                <w:sz w:val="18"/>
                <w:szCs w:val="18"/>
                <w:color w:val="auto"/>
                <w:w w:val="79"/>
              </w:rPr>
              <w:t>9.0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860" w:type="dxa"/>
            <w:vAlign w:val="bottom"/>
            <w:gridSpan w:val="3"/>
          </w:tcPr>
          <w:p>
            <w:pPr>
              <w:jc w:val="right"/>
              <w:ind w:right="1572"/>
              <w:spacing w:after="0"/>
              <w:rPr>
                <w:sz w:val="20"/>
                <w:szCs w:val="20"/>
                <w:color w:val="auto"/>
              </w:rPr>
            </w:pPr>
            <w:r>
              <w:rPr>
                <w:rFonts w:ascii="Arial" w:cs="Arial" w:eastAsia="Arial" w:hAnsi="Arial"/>
                <w:sz w:val="18"/>
                <w:szCs w:val="18"/>
                <w:b w:val="1"/>
                <w:bCs w:val="1"/>
                <w:color w:val="auto"/>
                <w:w w:val="88"/>
              </w:rPr>
              <w:t>7.   Fixed Assets and Lease Commitments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gridSpan w:val="3"/>
          </w:tcPr>
          <w:p>
            <w:pPr>
              <w:jc w:val="right"/>
              <w:ind w:right="1632"/>
              <w:spacing w:after="0"/>
              <w:rPr>
                <w:sz w:val="20"/>
                <w:szCs w:val="20"/>
                <w:color w:val="auto"/>
              </w:rPr>
            </w:pPr>
            <w:r>
              <w:rPr>
                <w:rFonts w:ascii="Arial" w:cs="Arial" w:eastAsia="Arial" w:hAnsi="Arial"/>
                <w:sz w:val="18"/>
                <w:szCs w:val="18"/>
                <w:color w:val="auto"/>
                <w:w w:val="99"/>
              </w:rPr>
              <w:t>Fixed assets consisted of the following:</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10"/>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140" w:type="dxa"/>
            <w:vAlign w:val="bottom"/>
            <w:vMerge w:val="restart"/>
          </w:tcPr>
          <w:p>
            <w:pPr>
              <w:ind w:left="180"/>
              <w:spacing w:after="0"/>
              <w:rPr>
                <w:sz w:val="20"/>
                <w:szCs w:val="20"/>
                <w:color w:val="auto"/>
              </w:rPr>
            </w:pPr>
            <w:r>
              <w:rPr>
                <w:rFonts w:ascii="Arial" w:cs="Arial" w:eastAsia="Arial" w:hAnsi="Arial"/>
                <w:sz w:val="18"/>
                <w:szCs w:val="18"/>
                <w:color w:val="auto"/>
              </w:rPr>
              <w:t>Fixed assets, at cost</w:t>
            </w: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0"/>
              </w:rPr>
              <w:t>Accumulated depreciation and amortization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00" w:type="dxa"/>
            <w:vAlign w:val="bottom"/>
            <w:gridSpan w:val="2"/>
            <w:vMerge w:val="restart"/>
          </w:tcPr>
          <w:p>
            <w:pPr>
              <w:ind w:left="560"/>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6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and its Affiliates lease office space and computer equipment for their operations. At December 31, 2011, the Company's aggregate future minimum payments for operating leases having initial or noncancelable lease terms greater than one year are payable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Required Minimum</w:t>
            </w:r>
          </w:p>
        </w:tc>
      </w:tr>
      <w:tr>
        <w:trPr>
          <w:trHeight w:val="161"/>
        </w:trPr>
        <w:tc>
          <w:tcPr>
            <w:tcW w:w="6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4"/>
              </w:rPr>
              <w:t>Payments</w:t>
            </w:r>
          </w:p>
        </w:tc>
        <w:tc>
          <w:tcPr>
            <w:tcW w:w="160" w:type="dxa"/>
            <w:vAlign w:val="bottom"/>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rent expense for 2009, 2010 and 2011 was $19.6 million, $23.3 million and $29.9 million, respectively.</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liabilities consisted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distributions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7"/>
        </w:trPr>
        <w:tc>
          <w:tcPr>
            <w:tcW w:w="6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r>
      <w:tr>
        <w:trPr>
          <w:trHeight w:val="216"/>
        </w:trPr>
        <w:tc>
          <w:tcPr>
            <w:tcW w:w="6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60" w:type="dxa"/>
            <w:vAlign w:val="bottom"/>
          </w:tcPr>
          <w:p>
            <w:pPr>
              <w:spacing w:after="0"/>
              <w:rPr>
                <w:sz w:val="18"/>
                <w:szCs w:val="18"/>
                <w:color w:val="auto"/>
              </w:rPr>
            </w:pPr>
          </w:p>
        </w:tc>
      </w:tr>
      <w:tr>
        <w:trPr>
          <w:trHeight w:val="21"/>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Company has three defined contribution plans consisting of a qualified employee profit-sharing plan covering substantially all of its full-time employees and several of its Affiliates, and non-qualified plans for certain senior employees. AMG's other Affiliates generally have separate defined contribution retirement plans. Under each of the qualified plans, AMG and each participating Affiliate, as the case may be, are able to make discretionary contributions for the benefit of qualified plan participants up to Internal Revenue Service limits.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 has established a Deferred Compensation Plan that provides officers and directors of the Company the opportunity to voluntarily defer base salary, bonus payments and director fees, as applicable, on a pre-tax basis, and invest such deferred amounts in one or more specified measurement funds. While the Company has no obligation to do so, the Deferred Compensation Plan also provides the Company the opportunity to make discretionary contributions; in the event any such contributions are made, contributed amounts will be subject to vesting and forfeiture provisions.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expenses related to the Company's benefit plans in 2009, 2010 and 2011 were $9.7 million, $12.1 million and $12.0 million,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Bank Debt</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Company entered into a $1.0 billion senior unsecured credit facility in November 2011 (the "amended credit facility"), consisting of a $750.0 million revolving credit facility (the "revolver") and a $250.0 million term loan (the "term loan"), the principal terms of which are similar to the Company's previous senior unsecured revolving credit facility. The term loan and $720.0 million of the revolver have a five-year maturity (maturing November 3, 2016); the remaining $30.0 million of the revolver matures January 12, 2015. Subject to certain conditions, the Company may increase the revolver and the term loan by up to $150.0 million and $250.0 million, respectively. The term loan borrowings were used to repay the outstanding balance under the previous revolving credit facility ($210.0 million) and for general corporate purposes.</w:t>
      </w:r>
    </w:p>
    <w:p>
      <w:pPr>
        <w:spacing w:after="0" w:line="198"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amended credit facility is unsecured and contains financial covenants with respect to leverage and interest coverage, as well as customary affirmative and negative covenants, including limitations on indebtedness, liens, cash dividends, asset dispositions and fundamental corporate changes. As of December 31, 2011, the Company was in compliance with all terms of its credit facility.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further described in Note 14, the Company has entered into interest rate swap contracts to exchange a fixed rate for the variable rate on a portion of its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Convertible Securities</w:t>
      </w:r>
    </w:p>
    <w:p>
      <w:pPr>
        <w:spacing w:after="0" w:line="231" w:lineRule="exact"/>
        <w:rPr>
          <w:sz w:val="20"/>
          <w:szCs w:val="20"/>
          <w:color w:val="auto"/>
        </w:rPr>
      </w:pPr>
    </w:p>
    <w:p>
      <w:pPr>
        <w:ind w:right="400" w:firstLine="341"/>
        <w:spacing w:after="0" w:line="306" w:lineRule="auto"/>
        <w:rPr>
          <w:sz w:val="20"/>
          <w:szCs w:val="20"/>
          <w:color w:val="auto"/>
        </w:rPr>
      </w:pPr>
      <w:r>
        <w:rPr>
          <w:rFonts w:ascii="Arial" w:cs="Arial" w:eastAsia="Arial" w:hAnsi="Arial"/>
          <w:sz w:val="16"/>
          <w:szCs w:val="16"/>
          <w:color w:val="auto"/>
        </w:rPr>
        <w:t>At December 31, 2011, the Company has one senior convertible security outstanding ("2008 senior convertible notes") and two junior convertible trust preferred securities outstanding, one issued in 2006 (the "2006 junior convertible trust preferred securities") and a second issued in 2007 (the "2007 junior convertible trust preferred securities"). The carrying values of the Company's convertible securities are as follows: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at</w:t>
            </w:r>
          </w:p>
        </w:tc>
        <w:tc>
          <w:tcPr>
            <w:tcW w:w="16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maturity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maturity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convertible securities: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20" w:type="dxa"/>
            <w:vAlign w:val="bottom"/>
            <w:gridSpan w:val="2"/>
          </w:tcPr>
          <w:p>
            <w:pPr>
              <w:ind w:left="160"/>
              <w:spacing w:after="0" w:line="284" w:lineRule="exact"/>
              <w:rPr>
                <w:sz w:val="20"/>
                <w:szCs w:val="20"/>
                <w:color w:val="auto"/>
              </w:rPr>
            </w:pPr>
            <w:r>
              <w:rPr>
                <w:rFonts w:ascii="Arial" w:cs="Arial" w:eastAsia="Arial" w:hAnsi="Arial"/>
                <w:sz w:val="18"/>
                <w:szCs w:val="18"/>
                <w:color w:val="auto"/>
              </w:rPr>
              <w:t>2008 senior convertible notes</w:t>
            </w:r>
            <w:r>
              <w:rPr>
                <w:rFonts w:ascii="Arial" w:cs="Arial" w:eastAsia="Arial" w:hAnsi="Arial"/>
                <w:sz w:val="29"/>
                <w:szCs w:val="29"/>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422.1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435.6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Junior convertible trust preferred securities: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2007 junior convertible trust preferred securities</w:t>
            </w:r>
            <w:r>
              <w:rPr>
                <w:rFonts w:ascii="Arial" w:cs="Arial" w:eastAsia="Arial" w:hAnsi="Arial"/>
                <w:sz w:val="29"/>
                <w:szCs w:val="29"/>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296.3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297.8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2006 junior convertible trust preferred securities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213.6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214.8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junior convertible securities</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4"/>
              </w:rPr>
              <w:t>509.9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8"/>
              </w:rPr>
              <w:t>512.6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Carrying value is accreted to the principal amount at maturity over an expected life of five years for the 2008 senior convertible notes and 30 years for each of the junior convertible trust preferred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these securities are summarized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2007 Junior</w:t>
            </w: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2006 Junior</w:t>
            </w:r>
          </w:p>
        </w:tc>
      </w:tr>
      <w:tr>
        <w:trPr>
          <w:trHeight w:val="149"/>
        </w:trPr>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2008 Senior</w:t>
            </w:r>
          </w:p>
        </w:tc>
        <w:tc>
          <w:tcPr>
            <w:tcW w:w="1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44"/>
        </w:trPr>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8"/>
              </w:rPr>
              <w:t>Convertible</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Trust Preferred</w:t>
            </w:r>
          </w:p>
        </w:tc>
        <w:tc>
          <w:tcPr>
            <w:tcW w:w="1240" w:type="dxa"/>
            <w:vAlign w:val="bottom"/>
            <w:gridSpan w:val="3"/>
          </w:tcPr>
          <w:p>
            <w:pPr>
              <w:jc w:val="right"/>
              <w:ind w:right="240"/>
              <w:spacing w:after="0" w:line="144" w:lineRule="exact"/>
              <w:rPr>
                <w:sz w:val="20"/>
                <w:szCs w:val="20"/>
                <w:color w:val="auto"/>
              </w:rPr>
            </w:pPr>
            <w:r>
              <w:rPr>
                <w:rFonts w:ascii="Arial" w:cs="Arial" w:eastAsia="Arial" w:hAnsi="Arial"/>
                <w:sz w:val="14"/>
                <w:szCs w:val="14"/>
                <w:b w:val="1"/>
                <w:bCs w:val="1"/>
                <w:color w:val="auto"/>
                <w:w w:val="96"/>
              </w:rPr>
              <w:t>Trust Preferred</w:t>
            </w:r>
          </w:p>
        </w:tc>
      </w:tr>
      <w:tr>
        <w:trPr>
          <w:trHeight w:val="193"/>
        </w:trPr>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7"/>
              <w:spacing w:after="0" w:line="193" w:lineRule="exact"/>
              <w:rPr>
                <w:sz w:val="20"/>
                <w:szCs w:val="20"/>
                <w:color w:val="auto"/>
              </w:rPr>
            </w:pPr>
            <w:r>
              <w:rPr>
                <w:rFonts w:ascii="Arial" w:cs="Arial" w:eastAsia="Arial" w:hAnsi="Arial"/>
                <w:sz w:val="14"/>
                <w:szCs w:val="14"/>
                <w:b w:val="1"/>
                <w:bCs w:val="1"/>
                <w:color w:val="auto"/>
                <w:w w:val="80"/>
              </w:rPr>
              <w:t>Notes</w:t>
            </w:r>
            <w:r>
              <w:rPr>
                <w:rFonts w:ascii="Arial" w:cs="Arial" w:eastAsia="Arial" w:hAnsi="Arial"/>
                <w:sz w:val="22"/>
                <w:szCs w:val="22"/>
                <w:b w:val="1"/>
                <w:bCs w:val="1"/>
                <w:color w:val="auto"/>
                <w:w w:val="80"/>
                <w:vertAlign w:val="superscript"/>
              </w:rPr>
              <w:t>(1)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
              <w:spacing w:after="0" w:line="193" w:lineRule="exact"/>
              <w:rPr>
                <w:sz w:val="20"/>
                <w:szCs w:val="20"/>
                <w:color w:val="auto"/>
              </w:rPr>
            </w:pPr>
            <w:r>
              <w:rPr>
                <w:rFonts w:ascii="Arial" w:cs="Arial" w:eastAsia="Arial" w:hAnsi="Arial"/>
                <w:sz w:val="14"/>
                <w:szCs w:val="14"/>
                <w:b w:val="1"/>
                <w:bCs w:val="1"/>
                <w:color w:val="auto"/>
                <w:w w:val="82"/>
              </w:rPr>
              <w:t>Securities</w:t>
            </w:r>
            <w:r>
              <w:rPr>
                <w:rFonts w:ascii="Arial" w:cs="Arial" w:eastAsia="Arial" w:hAnsi="Arial"/>
                <w:sz w:val="22"/>
                <w:szCs w:val="22"/>
                <w:b w:val="1"/>
                <w:bCs w:val="1"/>
                <w:color w:val="auto"/>
                <w:w w:val="82"/>
                <w:vertAlign w:val="superscript"/>
              </w:rPr>
              <w:t>(2)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7"/>
              <w:spacing w:after="0" w:line="193" w:lineRule="exact"/>
              <w:rPr>
                <w:sz w:val="20"/>
                <w:szCs w:val="20"/>
                <w:color w:val="auto"/>
              </w:rPr>
            </w:pPr>
            <w:r>
              <w:rPr>
                <w:rFonts w:ascii="Arial" w:cs="Arial" w:eastAsia="Arial" w:hAnsi="Arial"/>
                <w:sz w:val="14"/>
                <w:szCs w:val="14"/>
                <w:b w:val="1"/>
                <w:bCs w:val="1"/>
                <w:color w:val="auto"/>
                <w:w w:val="84"/>
              </w:rPr>
              <w:t>Securities</w:t>
            </w:r>
            <w:r>
              <w:rPr>
                <w:rFonts w:ascii="Arial" w:cs="Arial" w:eastAsia="Arial" w:hAnsi="Arial"/>
                <w:sz w:val="22"/>
                <w:szCs w:val="22"/>
                <w:b w:val="1"/>
                <w:bCs w:val="1"/>
                <w:color w:val="auto"/>
                <w:w w:val="84"/>
                <w:vertAlign w:val="superscript"/>
              </w:rPr>
              <w:t>(3)</w:t>
            </w:r>
          </w:p>
        </w:tc>
        <w:tc>
          <w:tcPr>
            <w:tcW w:w="160" w:type="dxa"/>
            <w:vAlign w:val="bottom"/>
          </w:tcPr>
          <w:p>
            <w:pPr>
              <w:spacing w:after="0"/>
              <w:rPr>
                <w:sz w:val="16"/>
                <w:szCs w:val="16"/>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date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August 2008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October 2007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2006</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August 2038</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October 2037</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April 2036</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 potential put date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August 2013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Denomination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conversion rate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0.333</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Price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125.65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Stated coupon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Coupon frequency</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Semi-annually</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Quarterly</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Quarterly</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deduction rate</w:t>
            </w:r>
            <w:r>
              <w:rPr>
                <w:rFonts w:ascii="Arial" w:cs="Arial" w:eastAsia="Arial" w:hAnsi="Arial"/>
                <w:sz w:val="29"/>
                <w:szCs w:val="29"/>
                <w:color w:val="auto"/>
                <w:vertAlign w:val="superscript"/>
              </w:rPr>
              <w:t>(4)</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r>
      <w:tr>
        <w:trPr>
          <w:trHeight w:val="108"/>
        </w:trPr>
        <w:tc>
          <w:tcPr>
            <w:tcW w:w="212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2260" w:hanging="540"/>
        <w:spacing w:after="0"/>
        <w:tabs>
          <w:tab w:leader="none" w:pos="2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may redeem the notes for cash (subject to the holders' rights to convert) at any time on or after August 15, 2013.</w:t>
      </w:r>
    </w:p>
    <w:p>
      <w:pPr>
        <w:spacing w:after="0" w:line="261" w:lineRule="exact"/>
        <w:rPr>
          <w:rFonts w:ascii="Arial" w:cs="Arial" w:eastAsia="Arial" w:hAnsi="Arial"/>
          <w:sz w:val="16"/>
          <w:szCs w:val="16"/>
          <w:color w:val="auto"/>
        </w:rPr>
      </w:pPr>
    </w:p>
    <w:p>
      <w:pPr>
        <w:ind w:left="2260" w:right="100" w:hanging="540"/>
        <w:spacing w:after="0" w:line="268" w:lineRule="auto"/>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may redeem the 2007 junior convertible trust preferred securities on or after October 15, 2012 if the closing price of the Company's common stock exceeds $260 per share for a specified period of time.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45" w:lineRule="exact"/>
        <w:rPr>
          <w:sz w:val="20"/>
          <w:szCs w:val="20"/>
          <w:color w:val="auto"/>
        </w:rPr>
      </w:pPr>
    </w:p>
    <w:p>
      <w:pPr>
        <w:ind w:left="2260" w:right="140" w:hanging="540"/>
        <w:spacing w:after="0" w:line="268" w:lineRule="auto"/>
        <w:tabs>
          <w:tab w:leader="none" w:pos="2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may redeem the 2006 junior convertible trust preferred securities if the closing price of the Company's common stock exceeds $195 per share for a specified period of time.</w:t>
      </w:r>
    </w:p>
    <w:p>
      <w:pPr>
        <w:spacing w:after="0" w:line="212" w:lineRule="exact"/>
        <w:rPr>
          <w:rFonts w:ascii="Arial" w:cs="Arial" w:eastAsia="Arial" w:hAnsi="Arial"/>
          <w:sz w:val="18"/>
          <w:szCs w:val="18"/>
          <w:color w:val="auto"/>
        </w:rPr>
      </w:pPr>
    </w:p>
    <w:p>
      <w:pPr>
        <w:ind w:left="2260" w:hanging="540"/>
        <w:spacing w:after="0" w:line="323" w:lineRule="auto"/>
        <w:tabs>
          <w:tab w:leader="none" w:pos="226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These convertible securities are considered contingent payment debt instruments under federal income tax regulations, which require the Company to deduct interest in an amount greater than its reported Interest expense. These deductions result in annual deferred tax liabilities of approximately $23.2 million. These deferred tax liabilities will be reclassified directly to stockholders' equity if the Company's common stock is trading above certain thresholds at the time of the conversion of the securities.</w:t>
      </w:r>
    </w:p>
    <w:p>
      <w:pPr>
        <w:spacing w:after="0" w:line="145" w:lineRule="exact"/>
        <w:rPr>
          <w:rFonts w:ascii="Arial" w:cs="Arial" w:eastAsia="Arial" w:hAnsi="Arial"/>
          <w:sz w:val="15"/>
          <w:szCs w:val="15"/>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Forward Equity Sale Agreements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5"/>
          <w:szCs w:val="15"/>
          <w:color w:val="auto"/>
        </w:rPr>
        <w:t>During 2008 and 2009, the Company entered into three forward equity sale agreements with major securities firms to sell shares of its common stock (up to</w:t>
      </w:r>
    </w:p>
    <w:p>
      <w:pPr>
        <w:spacing w:after="0" w:line="50"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$200.0 million under each agreement). During 2009, the Company settled $147.2 million of forward equity sales by issuing 1.8 million shares of its common stock. During 2010, the Company settled $349.3 million of forward equity sales by issuing 5.5 million shares of its common stock.</w:t>
      </w:r>
    </w:p>
    <w:p>
      <w:pPr>
        <w:spacing w:after="0" w:line="14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July 2011, the Company entered into a forward equity sale agreement with two major securities firms under which it may sell shares of common stock with an aggregate sales prices of up to $300.0 million. This agreement replaced all previous forward equity sale agreements. As of December 31, 2011, no forward equity sales have occurred.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consolidated income tax provision includes taxes attributable to the controlling interest and, to a lesser extent, taxes attributable to non-controlling interests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Controlling Interests: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Current tax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related deferred taxes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2"/>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Other deferred taxes</w:t>
            </w: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controlling interests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2"/>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non-controlling interests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 (controlling interest)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 attributable to controlling interests</w:t>
            </w:r>
            <w:r>
              <w:rPr>
                <w:rFonts w:ascii="Arial" w:cs="Arial" w:eastAsia="Arial" w:hAnsi="Arial"/>
                <w:sz w:val="29"/>
                <w:szCs w:val="29"/>
                <w:color w:val="auto"/>
                <w:vertAlign w:val="superscript"/>
              </w:rPr>
              <w:t>(1)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620" w:right="1620" w:hanging="3900"/>
        <w:spacing w:after="0" w:line="519" w:lineRule="auto"/>
        <w:tabs>
          <w:tab w:leader="none" w:pos="22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Taxes attributable to the controlling interest divided by Income before income taxes (controlling interest).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consolidated provision for income taxes is as follows:</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12"/>
          </w:tcPr>
          <w:p>
            <w:pPr>
              <w:jc w:val="right"/>
              <w:ind w:right="46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2009</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(11.2)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ind w:left="136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ind w:left="1360"/>
              <w:spacing w:after="0"/>
              <w:rPr>
                <w:sz w:val="20"/>
                <w:szCs w:val="20"/>
                <w:color w:val="auto"/>
              </w:rPr>
            </w:pPr>
            <w:r>
              <w:rPr>
                <w:rFonts w:ascii="Arial" w:cs="Arial" w:eastAsia="Arial" w:hAnsi="Arial"/>
                <w:sz w:val="18"/>
                <w:szCs w:val="18"/>
                <w:color w:val="auto"/>
              </w:rPr>
              <w:t>Total deferred</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income before income taxes consisted of the following:</w:t>
            </w: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76"/>
              </w:rPr>
              <w:t>2009</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180.9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186.3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243.8</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4"/>
              </w:rPr>
              <w:t>192.6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208.9</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245.7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378.9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452.7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effective income tax rate differs from the amount computed by using income before income taxes and applying the U.S. federal income tax rate to such amount because of the effect of the following items: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8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Tax at U.S. federal income tax rate</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Foreign basis differences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tax law, rates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Effect of income from non-controlling interests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
        </w:trPr>
        <w:tc>
          <w:tcPr>
            <w:tcW w:w="5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r>
      <w:tr>
        <w:trPr>
          <w:trHeight w:val="27"/>
        </w:trPr>
        <w:tc>
          <w:tcPr>
            <w:tcW w:w="5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2008, the state of Massachusetts enacted legislation that required combined tax reporting for the Company and all its subsidiaries beginning in 2009. In 2009, regulations under this legislation changed the methodology for measuring net operating losses, resulting in a $3.7 million reduction of the state net operating loss carryforwards and the valuation allowance. During 2010 and 2011, the Company realized a deferred tax benefit of $4.1 million and $7.6 million, respectively, from the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revaluation of its deferred taxes as a result of a reduction of corporate tax rates in the United Kingdom.</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does not provide for deferred taxes on the excess of the financial reporting basis over the tax basis in its investments in foreign subsidiaries that are permanent in duration. That excess totaled approximately $25.0 million as of December 31, 2011. The additional deferred taxes that have not been provided are approximately $2.1 million for 2011, and $9.5 million cumulatively.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State net operating loss carryforwards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tax credit carryforwards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of uncertain tax positions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loss carryforwards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color w:val="auto"/>
              </w:rPr>
              <w:t>Deferred tax assets, net of valuation allowance</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securities interest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Non-deductible intangible amortization</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628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180"/>
              <w:spacing w:after="0"/>
              <w:rPr>
                <w:sz w:val="20"/>
                <w:szCs w:val="20"/>
                <w:color w:val="auto"/>
              </w:rPr>
            </w:pPr>
            <w:r>
              <w:rPr>
                <w:rFonts w:ascii="Arial" w:cs="Arial" w:eastAsia="Arial" w:hAnsi="Arial"/>
                <w:sz w:val="18"/>
                <w:szCs w:val="18"/>
                <w:color w:val="auto"/>
              </w:rPr>
              <w:t>Net deferred tax liability</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(495.4)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Deferred tax liabilities are primarily the result of tax deductions for the Company's intangible assets and convertible securities. The Company amortizes most of its intangible assets for tax purposes only, reducing its tax basis below its carrying value for financial statement purposes and generating deferred taxes each reporting period. The Company's 2008 senior convertible notes and junior convertible trust preferred securities also generate deferred taxes because the Company's tax deductions are higher than the interest expense recorded for financial statement purposes.</w:t>
      </w:r>
    </w:p>
    <w:p>
      <w:pPr>
        <w:spacing w:after="0" w:line="167"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At December 31, 2011, the Company has state net operating loss carryforwards that expire over a 15-year period beginning in 2011. The Company also has foreign tax credit carryforwards that expire over a 10-year period beginning in 2011. The valuation allowances at December 31, 2010 and December 31, 2011 were principally related to the Company's ability to generate sufficient taxable income prior to the expiration of these carryforwards.</w:t>
      </w:r>
    </w:p>
    <w:p>
      <w:pPr>
        <w:spacing w:after="0" w:line="16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carried a liability for uncertain tax positions of $21.9 million, $24.6 million and $21.3 million as of December 31, 2009, 2010 and 2011, respectively. These amounts included $4.4 million, $3.2 million and $1.6 million of interest and related charges, respectively. At December 31, 2009, 2010 and 2011, these liabilities included $13.9 million, $16.7 million and $12.6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respectively, for tax positions that, if recognized, would affect the Company's effective tax rate. The Company does not anticipate that this liability will change significantly over the next twelve months.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Reductions for tax provisions of prior years</w:t>
            </w:r>
          </w:p>
        </w:tc>
        <w:tc>
          <w:tcPr>
            <w:tcW w:w="1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Reductions related to lapses of statutes of limitations</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related to foreign exchange rates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8"/>
                <w:szCs w:val="18"/>
                <w:color w:val="auto"/>
              </w:rPr>
              <w:t>Balance as of December 31</w:t>
            </w: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The Company periodically has tax examinations in the United States and foreign jurisdictions. Examination outcomes, and any related settlements, are subject to significant uncertainty. The completion of examinations may result in the payment of additional taxes and/or the recognition of tax benefits. The Company is generally no longer subject to income tax examinations by any tax authorities for years before 2006.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Financial Instruments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From time to time, the Company seeks to offset its exposure to changing interest rates under its debt financing arrangements by entering into interest rate hedging contracts. The Company does not hold or issue derivative financial instruments for speculative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2010, the Company entered into interest rate swap agreements as summarized in the table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Notional</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272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Paying</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Receiving</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Start Date</w:t>
            </w:r>
          </w:p>
        </w:tc>
        <w:tc>
          <w:tcPr>
            <w:tcW w:w="180" w:type="dxa"/>
            <w:vAlign w:val="bottom"/>
          </w:tcPr>
          <w:p>
            <w:pPr>
              <w:spacing w:after="0"/>
              <w:rPr>
                <w:sz w:val="14"/>
                <w:szCs w:val="14"/>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Expiration Date</w:t>
            </w: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Counterparty 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3-Month LIBOR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2010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October 2015</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Counterparty A</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3-Month LIBOR</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2010</w:t>
            </w:r>
          </w:p>
        </w:tc>
        <w:tc>
          <w:tcPr>
            <w:tcW w:w="18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89"/>
              </w:rPr>
              <w:t>October 2015</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Counterparty B</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3-Month LIBOR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2010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October 2015</w:t>
            </w: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Counterparty B</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2.14%</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3-Month LIBOR</w:t>
            </w:r>
          </w:p>
        </w:tc>
        <w:tc>
          <w:tcPr>
            <w:tcW w:w="1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October 2010</w:t>
            </w:r>
          </w:p>
        </w:tc>
        <w:tc>
          <w:tcPr>
            <w:tcW w:w="180" w:type="dxa"/>
            <w:vAlign w:val="bottom"/>
          </w:tcPr>
          <w:p>
            <w:pPr>
              <w:spacing w:after="0"/>
              <w:rPr>
                <w:sz w:val="19"/>
                <w:szCs w:val="19"/>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89"/>
              </w:rPr>
              <w:t>October 2017</w:t>
            </w:r>
          </w:p>
        </w:tc>
      </w:tr>
    </w:tbl>
    <w:p>
      <w:pPr>
        <w:spacing w:after="0" w:line="20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November 2010, the Company entered into a series of treasury rate lock contracts with a total notional value of $100.0 million which were settled in February 2011 for a net pre-tax gain of $4.0 million (each contract was designated and qualified as a cash flow hedge). In the third quarter 2011, the Company entered into a series of treasury rate lock contracts with a total notional value of $75.0 million which were settled for a net pre-tax loss of $4.7 million in October 2011 (each contract was designated and qualified as a cash flow hedge). These contracts were intended to hedge the risks associated with changes in interest rates on a fixed-rate debt issuance that is anticipated to occur prior to the end of the second quarter of 2012. The net loss on these contracts ($0.7 million) is reflected as a component of Other comprehensive income and will be recognized as an increase to Interest expense over the life of the expected fixed rate debt issuance, or recorded within other income and loss in the event that the Company determines that it is not probable that it will issue the anticipated fixed rate debt.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Company's derivative contracts contain provisions that may require the Company or the counterparties to post collateral based upon the current fair value of the derivative contracts. As of December 31, 2011, the Company had posted collateral of $3.5 million related to its interest rate swap contracts.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records all derivative instruments on the balance sheet at fair value. As cash flow hedges, the effective portion of the unrealized gain or loss on the derivative instruments is recorded in accumulated other comprehensive income as a separate component of stockholders' equity. Hedge effectiveness is measured by comparing the present value of the cumulative change in the expected future variable cash flows of the hedged contract with the present value of the cumulative change in the expected future variable cash flows of the hedged item. To the extent that the critical terms of the hedged item and the derivative are not identical, hedge ineffectiveness would be reported in earnings as Interest expense. Hedge ineffectiveness was not material in any periods presented. The Company does not expect to reclassify any material portion of the unrealized gain into earnings in the next twelve months.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the location and amount of derivative instrument gains and (losses), before taxes reported in the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00" w:type="dxa"/>
            <w:vAlign w:val="bottom"/>
            <w:gridSpan w:val="2"/>
          </w:tcPr>
          <w:p>
            <w:pPr>
              <w:spacing w:after="0" w:line="256"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9"/>
                <w:szCs w:val="29"/>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6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Treasury rate locks</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0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0"/>
              </w:rPr>
              <w:t>(9.7)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Presented within Other comprehensive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location and fair values of derivative instruments on the Consolidated Balance Sheets: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Hedges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00" w:type="dxa"/>
            <w:vAlign w:val="bottom"/>
            <w:gridSpan w:val="2"/>
          </w:tcPr>
          <w:p>
            <w:pPr>
              <w:spacing w:after="0" w:line="256"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Treasury rate locks</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260" w:hanging="540"/>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Presented within Other assets and Other long-term liabilities as of December 31, 2010 and 2011, respectively.</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Presented within Prepaid expenses and other current assets.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does not hold or issue derivative financial instruments for trading purposes. Interest rate swaps and treasury rate locks are intended to enable the Company to achieve a level of variable-rate and fixed-rate debt that is acceptable to management and to limit interest rate exposure.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tax effects allocated to each component of other comprehensive income:</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13"/>
          </w:tcPr>
          <w:p>
            <w:pPr>
              <w:ind w:left="140"/>
              <w:spacing w:after="0"/>
              <w:rPr>
                <w:sz w:val="20"/>
                <w:szCs w:val="20"/>
                <w:color w:val="auto"/>
              </w:rPr>
            </w:pPr>
            <w:r>
              <w:rPr>
                <w:rFonts w:ascii="Arial" w:cs="Arial" w:eastAsia="Arial" w:hAnsi="Arial"/>
                <w:sz w:val="14"/>
                <w:szCs w:val="14"/>
                <w:b w:val="1"/>
                <w:bCs w:val="1"/>
                <w:color w:val="auto"/>
                <w:w w:val="86"/>
              </w:rPr>
              <w:t>Year Ended December 31, 2009</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bottom w:val="single" w:sz="8" w:color="auto"/>
            </w:tcBorders>
            <w:gridSpan w:val="4"/>
          </w:tcPr>
          <w:p>
            <w:pPr>
              <w:jc w:val="right"/>
              <w:ind w:right="6"/>
              <w:spacing w:after="0" w:line="142" w:lineRule="exact"/>
              <w:rPr>
                <w:sz w:val="20"/>
                <w:szCs w:val="20"/>
                <w:color w:val="auto"/>
              </w:rPr>
            </w:pPr>
            <w:r>
              <w:rPr>
                <w:rFonts w:ascii="Arial" w:cs="Arial" w:eastAsia="Arial" w:hAnsi="Arial"/>
                <w:sz w:val="14"/>
                <w:szCs w:val="14"/>
                <w:b w:val="1"/>
                <w:bCs w:val="1"/>
                <w:color w:val="auto"/>
                <w:w w:val="97"/>
              </w:rPr>
              <w:t>Pre-Tax</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8"/>
              </w:rPr>
              <w:t>Tax Expense</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Net of Tax</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46.8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Change in net unrealized gain on investment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52.1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8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3"/>
          </w:tcPr>
          <w:p>
            <w:pPr>
              <w:ind w:left="140"/>
              <w:spacing w:after="0"/>
              <w:rPr>
                <w:sz w:val="20"/>
                <w:szCs w:val="20"/>
                <w:color w:val="auto"/>
              </w:rPr>
            </w:pPr>
            <w:r>
              <w:rPr>
                <w:rFonts w:ascii="Arial" w:cs="Arial" w:eastAsia="Arial" w:hAnsi="Arial"/>
                <w:sz w:val="14"/>
                <w:szCs w:val="14"/>
                <w:b w:val="1"/>
                <w:bCs w:val="1"/>
                <w:color w:val="auto"/>
                <w:w w:val="86"/>
              </w:rPr>
              <w:t>Year Ended December 31, 2010</w:t>
            </w:r>
          </w:p>
        </w:tc>
        <w:tc>
          <w:tcPr>
            <w:tcW w:w="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bottom w:val="single" w:sz="8" w:color="auto"/>
            </w:tcBorders>
            <w:gridSpan w:val="4"/>
          </w:tcPr>
          <w:p>
            <w:pPr>
              <w:jc w:val="right"/>
              <w:ind w:right="6"/>
              <w:spacing w:after="0" w:line="142" w:lineRule="exact"/>
              <w:rPr>
                <w:sz w:val="20"/>
                <w:szCs w:val="20"/>
                <w:color w:val="auto"/>
              </w:rPr>
            </w:pPr>
            <w:r>
              <w:rPr>
                <w:rFonts w:ascii="Arial" w:cs="Arial" w:eastAsia="Arial" w:hAnsi="Arial"/>
                <w:sz w:val="14"/>
                <w:szCs w:val="14"/>
                <w:b w:val="1"/>
                <w:bCs w:val="1"/>
                <w:color w:val="auto"/>
                <w:w w:val="97"/>
              </w:rPr>
              <w:t>Pre-Tax</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8"/>
              </w:rPr>
              <w:t>Tax Expense</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Net of Tax</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Change in net realized and unrealized gain on derivative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investment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41.3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ind w:left="78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72.0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8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14"/>
          </w:tcPr>
          <w:p>
            <w:pPr>
              <w:jc w:val="right"/>
              <w:ind w:right="520"/>
              <w:spacing w:after="0"/>
              <w:rPr>
                <w:sz w:val="20"/>
                <w:szCs w:val="20"/>
                <w:color w:val="auto"/>
              </w:rPr>
            </w:pPr>
            <w:r>
              <w:rPr>
                <w:rFonts w:ascii="Arial" w:cs="Arial" w:eastAsia="Arial" w:hAnsi="Arial"/>
                <w:sz w:val="14"/>
                <w:szCs w:val="14"/>
                <w:b w:val="1"/>
                <w:bCs w:val="1"/>
                <w:color w:val="auto"/>
                <w:w w:val="86"/>
              </w:rPr>
              <w:t>Year Ended December 31, 2011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Pre-Tax</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Tax Benefit</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Net of Tax</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(10.2)</w:t>
            </w: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Change in net realized and unrealized loss on derivative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loss on investment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(56.6)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(34.4)</w:t>
            </w: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ind w:left="78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4"/>
              </w:rPr>
              <w:t>(76.5)</w:t>
            </w: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ind w:right="22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(50.5)</w:t>
            </w:r>
          </w:p>
        </w:tc>
        <w:tc>
          <w:tcPr>
            <w:tcW w:w="0" w:type="dxa"/>
            <w:vAlign w:val="bottom"/>
          </w:tcPr>
          <w:p>
            <w:pPr>
              <w:spacing w:after="0"/>
              <w:rPr>
                <w:sz w:val="1"/>
                <w:szCs w:val="1"/>
                <w:color w:val="auto"/>
              </w:rPr>
            </w:pPr>
          </w:p>
        </w:tc>
      </w:tr>
      <w:tr>
        <w:trPr>
          <w:trHeight w:val="21"/>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w w:val="88"/>
              </w:rPr>
              <w:t>The components of accumulated other comprehensive income, net of taxes, are as follows: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220" w:type="dxa"/>
            <w:vAlign w:val="bottom"/>
            <w:gridSpan w:val="8"/>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2"/>
                <w:szCs w:val="12"/>
                <w:color w:val="auto"/>
              </w:rPr>
            </w:pPr>
          </w:p>
        </w:tc>
        <w:tc>
          <w:tcPr>
            <w:tcW w:w="1080" w:type="dxa"/>
            <w:vAlign w:val="bottom"/>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5"/>
          </w:tcPr>
          <w:p>
            <w:pPr>
              <w:jc w:val="center"/>
              <w:ind w:right="192"/>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Realized and unrealized gains (losses) on derivative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ind w:left="520"/>
              <w:spacing w:after="0"/>
              <w:rPr>
                <w:sz w:val="20"/>
                <w:szCs w:val="20"/>
                <w:color w:val="auto"/>
              </w:rPr>
            </w:pPr>
            <w:r>
              <w:rPr>
                <w:rFonts w:ascii="Arial" w:cs="Arial" w:eastAsia="Arial" w:hAnsi="Arial"/>
                <w:sz w:val="18"/>
                <w:szCs w:val="18"/>
                <w:color w:val="auto"/>
                <w:w w:val="87"/>
              </w:rPr>
              <w:t>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investment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ind w:left="78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(50.5)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and its Affiliates are subject to claims, legal proceedings and other contingencies in the ordinary course of their business activities. Each of these matters is subject to various uncertainties, and it is possible that some of these matters may be resolved in a manner unfavorable to the Company or its Affiliates. The Company and its Affiliates establish accruals for matters for which the outcome is probable and can be reasonably estimated. Management believes that any liability in excess of these accruals upon the ultimate resolution of these matters will not have a material adverse effect on the Company.</w:t>
      </w:r>
    </w:p>
    <w:p>
      <w:pPr>
        <w:spacing w:after="0" w:line="1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Certain Affiliates operate under regulatory authorities which require that they maintain minimum financial or capital requirements. Management is not aware of any violations of such financial requirements occurring during the period.</w:t>
      </w:r>
    </w:p>
    <w:p>
      <w:pPr>
        <w:spacing w:after="0" w:line="186"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connection with its investment in Pantheon Ventures, the Company has committed to co-invest in certain investment partnerships where it serves as the general partner. As of December 31, 2011, these commitments totaled approximately $80.5 million and may be called in future periods. Russell Investments (Pantheon Ventures' former owner) is contractually obligated to reimburse the Company for $47.6 million of these commitments if they are called.</w:t>
      </w:r>
    </w:p>
    <w:p>
      <w:pPr>
        <w:spacing w:after="0" w:line="142" w:lineRule="exact"/>
        <w:rPr>
          <w:sz w:val="20"/>
          <w:szCs w:val="20"/>
          <w:color w:val="auto"/>
        </w:rPr>
      </w:pPr>
    </w:p>
    <w:p>
      <w:pPr>
        <w:ind w:right="500" w:firstLine="351"/>
        <w:spacing w:after="0" w:line="254" w:lineRule="auto"/>
        <w:rPr>
          <w:sz w:val="20"/>
          <w:szCs w:val="20"/>
          <w:color w:val="auto"/>
        </w:rPr>
      </w:pPr>
      <w:r>
        <w:rPr>
          <w:rFonts w:ascii="Arial" w:cs="Arial" w:eastAsia="Arial" w:hAnsi="Arial"/>
          <w:sz w:val="18"/>
          <w:szCs w:val="18"/>
          <w:color w:val="auto"/>
        </w:rPr>
        <w:t>Under past acquisition agreements, the Company is contingently liable, upon achievement of specified financial targets, to make payments of up to $491.4 million through 2017. In 2011, the Company reduced its current estimate of payments to be made under these agreements and recognized a gain of $4.8 million ($3.1 million of which is attributable to the controlling interest). This gain has been classified within Imputed interest expense and contingent payment arrangements in the Consolidated Statements of Income. Based on estimates as of December 31, 2011, the Company expects to make payments of approximately $108.0 million to settle these contingent obligations, of which $80.1 million is expected to be settled in 2012 and the remainder to be settled between 2014 and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Affiliate Equity</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periodically issues Affiliate equity interests to and repurchases Affiliate equity interests from its Affiliate partners. In these transactions, if the equity is issued for consideration below the fair value of the equity or repurchased for consideration above the fair value of the equity, then such difference is recorded as compensation expense over the requisite service period. The Company recognized compensation expenses related to Affiliate equity of $16.8 million, $26.2 million, and $29.0 million (of which $13.2 million, $14.5 million, and $22.1 million were attributable to the controlling interest) in 2009, 2010 and 2011, respectively.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Many of the Company's operating agreements provide the Company a conditional right to call and Affiliate partners the conditional right to put their retained equity interests at certain intervals. The purchase price of these conditional purchases are generally calculated based upon a multiple of the Affiliate's cash flow distributions, which is intended to represent fair value. Affiliate management partners are also permitted to sell their equity interests to other individuals or entities in certain cases, subject to the Company's approval or other restrictions. The Company, at its option, may pay for Affiliate equity purchases in cash, shares of its common stock or other forms of consideration and can consent to the transfer of these interests to other individuals or entities.</w:t>
      </w:r>
    </w:p>
    <w:p>
      <w:pPr>
        <w:spacing w:after="0" w:line="170"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current redemption value of these interests has been presented as Redeemable non-controlling interests on the Company's Consolidated Balance Sheets. Changes in the current redemption value are recorded to Additional paid-in capital. The following table presents the changes in Redeemable non-controlling interests during the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6"/>
              </w:rPr>
              <w:t>Issuance of Redeemable non-controlling interest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0"/>
              </w:rPr>
              <w:t>Repurchase of Redeemable non-controlling interest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Changes in redemption value</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60" w:type="dxa"/>
            <w:vAlign w:val="bottom"/>
            <w:vMerge w:val="restart"/>
          </w:tcPr>
          <w:p>
            <w:pPr>
              <w:jc w:val="right"/>
              <w:ind w:right="2252"/>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During the years ended 2009, 2010 and 2011, the Company acquired interests from and transferred interests to Affiliate management partners. The following schedule discloses the effect of changes in the Company's ownership interests in its Affiliates on the controlling interest's equity: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For the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87"/>
              </w:rPr>
              <w:t>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09"/>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(controlling interest)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20" w:type="dxa"/>
            <w:vAlign w:val="bottom"/>
            <w:gridSpan w:val="10"/>
          </w:tcPr>
          <w:p>
            <w:pPr>
              <w:ind w:left="160"/>
              <w:spacing w:after="0"/>
              <w:rPr>
                <w:sz w:val="20"/>
                <w:szCs w:val="20"/>
                <w:color w:val="auto"/>
              </w:rPr>
            </w:pPr>
            <w:r>
              <w:rPr>
                <w:rFonts w:ascii="Arial" w:cs="Arial" w:eastAsia="Arial" w:hAnsi="Arial"/>
                <w:sz w:val="18"/>
                <w:szCs w:val="18"/>
                <w:color w:val="auto"/>
                <w:w w:val="97"/>
              </w:rPr>
              <w:t>Increase (decrease) in controlling interest paid-in capital from the sale of Affiliate equity</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180" w:type="dxa"/>
            <w:vAlign w:val="bottom"/>
            <w:gridSpan w:val="7"/>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Change from Net income (controlling interest) and net transfers with non-controlling</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  Goodwill and Acquired Client Relationships</w:t>
            </w: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0" w:type="dxa"/>
            <w:vAlign w:val="bottom"/>
            <w:gridSpan w:val="2"/>
          </w:tcPr>
          <w:p>
            <w:pPr>
              <w:ind w:left="360"/>
              <w:spacing w:after="0"/>
              <w:rPr>
                <w:sz w:val="20"/>
                <w:szCs w:val="20"/>
                <w:color w:val="auto"/>
              </w:rPr>
            </w:pPr>
            <w:r>
              <w:rPr>
                <w:rFonts w:ascii="Arial" w:cs="Arial" w:eastAsia="Arial" w:hAnsi="Arial"/>
                <w:sz w:val="18"/>
                <w:szCs w:val="18"/>
                <w:color w:val="auto"/>
                <w:w w:val="90"/>
              </w:rPr>
              <w:t>The following table presents the change in Goodwill during 2010 and 2011: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Mutual Fund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Institutional</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6"/>
              </w:rPr>
              <w:t>High Net Worth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77"/>
              </w:rPr>
              <w:t>Total</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as of December 31, 2010</w:t>
            </w:r>
          </w:p>
        </w:tc>
        <w:tc>
          <w:tcPr>
            <w:tcW w:w="4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1,073.6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jc w:val="right"/>
              <w:ind w:right="30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2,121.9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During 2011, the Company revised its balance sheet for the year ended December 31, 2010 related to the finalization of its purchase price allocation for certain of its 2010 business combinations ($4.5 million), and to correct the initial estimate of its contingent payment obligation ($4.8 million). The net effect of these changes reduced goodwill by $9.3 million and was not material to the Consolidated Financial Statements.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reflects the components of intangible assets of the Company's Affiliates that are consolidated as of December 31, 2010 and 2011:</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89"/>
              </w:rPr>
              <w:t>2010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Definite-lived acquired client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971.2</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970.5</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Non-amortized intangible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Indefinite-lived acquired client relationships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678.0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667.6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For the Company's Affiliates that are consolidated, definite-lived acquired client relationships are amortized over their expected useful lives. As of December 31, 2011, these relationships were being amortized over a weighted average life of approximately ten years. The Company estimates that its consolidated annual amortization expense will be approximately $88.5 million for the next five years, assuming no additional investments in new or existing Affiliates.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definite-lived acquired client relationships attributable to the Company's equity method investments are amortized over their expected useful lives. As of December 31, 2011, these relationships were being amortized over approximately seven years. Amortization expense for these relationships was $32.9 million for the twelve months ended December 31, 2011. Assuming no additional investments in new or existing Affiliates, the Company estimates the annual amortization expense attributable to its current equity-method Affiliates for the next five years as follows: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During 2011, the Company completed impairment assessments on its goodwill and definite-lived and indefinite-lived acquired client relationships. The Company determined that fair value of the indefinite-lived intangible assets at one of its Affiliates, a growth oriented manager of U.S. equity mutual funds had declined below its carrying value and, accordingly, it reduced the carrying value to its current fair value. This impairment, which totaled $9.2 million, has been presented within Amortization of intangible assets in the Company's Consolidated Statements of Income. Further declines in the fair value of this asset will likely result in future impairments. No impairments were identified related to the Company's goodwill or other definite-lived or indefinite-lived intangible assets.</w:t>
      </w:r>
    </w:p>
    <w:p>
      <w:pPr>
        <w:spacing w:after="0" w:line="164"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Investments in Affiliates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summarized financial information for Affiliates accounted for under the equity method.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50"/>
        </w:trPr>
        <w:tc>
          <w:tcPr>
            <w:tcW w:w="53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8"/>
                <w:szCs w:val="28"/>
                <w:color w:val="auto"/>
                <w:vertAlign w:val="superscript"/>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581.0</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444.2</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387.9</w:t>
            </w:r>
          </w:p>
        </w:tc>
      </w:tr>
      <w:tr>
        <w:trPr>
          <w:trHeight w:val="844"/>
        </w:trPr>
        <w:tc>
          <w:tcPr>
            <w:tcW w:w="2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24"/>
                <w:szCs w:val="24"/>
                <w:color w:val="auto"/>
              </w:rPr>
            </w:pPr>
          </w:p>
        </w:tc>
      </w:tr>
      <w:tr>
        <w:trPr>
          <w:trHeight w:val="250"/>
        </w:trPr>
        <w:tc>
          <w:tcPr>
            <w:tcW w:w="53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Current assets</w:t>
            </w:r>
            <w:r>
              <w:rPr>
                <w:rFonts w:ascii="Arial" w:cs="Arial" w:eastAsia="Arial" w:hAnsi="Arial"/>
                <w:sz w:val="28"/>
                <w:szCs w:val="28"/>
                <w:color w:val="auto"/>
                <w:vertAlign w:val="superscript"/>
              </w:rPr>
              <w:t>(2)</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7,259.3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8,193.1</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1,471.0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1,022.7</w:t>
            </w:r>
          </w:p>
        </w:tc>
      </w:tr>
      <w:tr>
        <w:trPr>
          <w:trHeight w:val="365"/>
        </w:trPr>
        <w:tc>
          <w:tcPr>
            <w:tcW w:w="5360" w:type="dxa"/>
            <w:vAlign w:val="bottom"/>
            <w:gridSpan w:val="2"/>
          </w:tcPr>
          <w:p>
            <w:pPr>
              <w:spacing w:after="0"/>
              <w:rPr>
                <w:sz w:val="20"/>
                <w:szCs w:val="20"/>
                <w:color w:val="auto"/>
              </w:rPr>
            </w:pPr>
            <w:r>
              <w:rPr>
                <w:rFonts w:ascii="Arial" w:cs="Arial" w:eastAsia="Arial" w:hAnsi="Arial"/>
                <w:sz w:val="18"/>
                <w:szCs w:val="18"/>
                <w:color w:val="auto"/>
              </w:rPr>
              <w:t>Noncurrent liabilities and Non-controlling interest</w:t>
            </w:r>
            <w:r>
              <w:rPr>
                <w:rFonts w:ascii="Arial" w:cs="Arial" w:eastAsia="Arial" w:hAnsi="Arial"/>
                <w:sz w:val="29"/>
                <w:szCs w:val="29"/>
                <w:color w:val="auto"/>
                <w:vertAlign w:val="superscript"/>
              </w:rPr>
              <w:t>(2)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5,338.3</w:t>
            </w:r>
          </w:p>
        </w:tc>
        <w:tc>
          <w:tcPr>
            <w:tcW w:w="1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6,754.3</w:t>
            </w:r>
          </w:p>
        </w:tc>
      </w:tr>
      <w:tr>
        <w:trPr>
          <w:trHeight w:val="20"/>
        </w:trPr>
        <w:tc>
          <w:tcPr>
            <w:tcW w:w="21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2260" w:right="160" w:hanging="540"/>
        <w:spacing w:after="0" w:line="268"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Revenue includes advisory fees for asset management services, investment income and dividends from consolidated investment partnerships.</w:t>
      </w:r>
    </w:p>
    <w:p>
      <w:pPr>
        <w:spacing w:after="0" w:line="212" w:lineRule="exact"/>
        <w:rPr>
          <w:rFonts w:ascii="Arial" w:cs="Arial" w:eastAsia="Arial" w:hAnsi="Arial"/>
          <w:sz w:val="18"/>
          <w:szCs w:val="18"/>
          <w:color w:val="auto"/>
        </w:rPr>
      </w:pPr>
    </w:p>
    <w:p>
      <w:pPr>
        <w:ind w:left="2260" w:right="20" w:hanging="540"/>
        <w:spacing w:after="0" w:line="332" w:lineRule="auto"/>
        <w:tabs>
          <w:tab w:leader="none" w:pos="2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its investments in BlueMountain and ValueAct, the Company is entitled to a share of revenue but no portion of the assets held by investors that are unrelated to the Company (which include consolidated investment partnerships).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share of undistributed earnings from equity method investments totaled $32.5 million as of December 31,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Income (non-controlling interests)</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Net income (non-controlling interests) in the Consolidated Statements of Income includes the income allocated to owners of consolidated Affiliates, other than AMG. For the years ended December 31, 2009, 2010 and 2011, this income was $126.7 million, $153.1 million and $194.7 million, respectively. Non-controlling interests on the Consolidated Balance Sheets includes capital and undistributed profits owned by the managers of the consolidated Affiliates (including profits allocated to managers from the Owners' Allocation and Operating Allocation).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Company's Board of Directors has authorized the issuance of up to 150.0 million shares of Voting Common Stock and 3.0 million shares of Class B Non-Voting Common Stock. As more fully described in Note 12, the Company is party to a forward equity sale agreement to issue new shares of the Company's common stock.</w:t>
      </w:r>
    </w:p>
    <w:p>
      <w:pPr>
        <w:spacing w:after="0" w:line="194" w:lineRule="exact"/>
        <w:rPr>
          <w:sz w:val="20"/>
          <w:szCs w:val="20"/>
          <w:color w:val="auto"/>
        </w:rPr>
      </w:pPr>
    </w:p>
    <w:p>
      <w:pPr>
        <w:ind w:right="580" w:firstLine="348"/>
        <w:spacing w:after="0" w:line="259" w:lineRule="auto"/>
        <w:rPr>
          <w:sz w:val="20"/>
          <w:szCs w:val="20"/>
          <w:color w:val="auto"/>
        </w:rPr>
      </w:pPr>
      <w:r>
        <w:rPr>
          <w:rFonts w:ascii="Arial" w:cs="Arial" w:eastAsia="Arial" w:hAnsi="Arial"/>
          <w:sz w:val="18"/>
          <w:szCs w:val="18"/>
          <w:color w:val="auto"/>
        </w:rPr>
        <w:t>The Company's Board of Directors has also authorized share repurchase programs in recent periods. The maximum number of shares that may yet be repurchased under outstanding programs is 2.9 million. The timing and amount of issuances and repurchases are determined at the discretion of AMG's management.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recent share repurchase activity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0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61"/>
        </w:trPr>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1"/>
              </w:rPr>
              <w:t>Period</w:t>
            </w:r>
          </w:p>
        </w:tc>
        <w:tc>
          <w:tcPr>
            <w:tcW w:w="572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w w:val="90"/>
              </w:rPr>
              <w:t>Repurchased</w:t>
            </w:r>
          </w:p>
        </w:tc>
        <w:tc>
          <w:tcPr>
            <w:tcW w:w="16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2009</w:t>
            </w:r>
          </w:p>
        </w:tc>
        <w:tc>
          <w:tcPr>
            <w:tcW w:w="5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2010</w:t>
            </w:r>
          </w:p>
        </w:tc>
        <w:tc>
          <w:tcPr>
            <w:tcW w:w="5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2011</w:t>
            </w:r>
          </w:p>
        </w:tc>
        <w:tc>
          <w:tcPr>
            <w:tcW w:w="6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83.63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Company's 2008 senior convertible notes and junior convertible trust preferred securities contain an embedded right for holders to receive shares of the Company's common stock under certain conditions. These arrangements, as well as the forward equity sale agreement, meet the definition of equity and are not required to be accounted for separately as derivative instruments.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Incentive Plans</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Company established the 1997 Stock Option and Incentive Plan (as amended and restated, the "1997 Plan"), under which it was authorized to grant options to employees, officers and directors. In 2002, stockholders approved an amendment to increase the number of shares of common stock authorized for issuance under this plan to 7.9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2002, the Company's Board of Directors established the 2002 Stock Option and Incentive Plan (as amended and restated, the "2002 Plan"), under which the Company was authorized to grant 3.4 million non-qualified stock options and certain other awards to employees and directors. This plan requires that the majority of grants under the plan in any three-year period must be issued to employees of the Company who are not executive officers or directors of the Company. This plan was approved by the Company's Board of Directors.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May 2006, the stockholders of the Company approved the 2006 Stock Option and Incentive Plan (the "2006 Plan"), under which the Company was authorized to grant 3.0 million stock options or stock appreciation rights to senior management, employees and directors.</w:t>
      </w:r>
    </w:p>
    <w:p>
      <w:pPr>
        <w:spacing w:after="0" w:line="139"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In May 2011, the stockholders of the company approved the 2011 Stock Option and Incentive Plan (the "2011 Plan"), under which the Company was authorized to grant 4.0 million stock options or stock appreciation rights to senior management, employees, consultants and directors.</w:t>
      </w:r>
    </w:p>
    <w:p>
      <w:pPr>
        <w:spacing w:after="0" w:line="13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plans are administered by a committee of the Board of Directors. Under the plans, options generally vest over a period of three to five years and expire seven to ten years after the grant date. All options have been granted with exercise prices equal to the fair market value of the Company's common stock on the date of grant.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transactions of the Company's stock option and incentive plans: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Stock 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Unexercised options outstanding—January 1, 2011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99.42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Options expired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Unexercised options outstanding—December 31, 2011</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68.18</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6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2011</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61.66</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fair value of options granted is estimated using the Black-Scholes option pricing model. The weighted average fair value of options granted during the years ended December 31, 2009, 2010 and 2011 was $17.03, $23.54 and $30.27 per option, respectively, based on the assumptions stated below.</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57"/>
        </w:trPr>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9"/>
                <w:szCs w:val="29"/>
                <w:color w:val="auto"/>
                <w:vertAlign w:val="superscript"/>
              </w:rPr>
              <w:t>(1)</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30.7%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r>
      <w:tr>
        <w:trPr>
          <w:trHeight w:val="257"/>
        </w:trPr>
        <w:tc>
          <w:tcPr>
            <w:tcW w:w="6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9"/>
                <w:szCs w:val="29"/>
                <w:color w:val="auto"/>
                <w:vertAlign w:val="superscript"/>
              </w:rPr>
              <w:t>(2)</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57"/>
        </w:trPr>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Expected life of options (in years)</w:t>
            </w:r>
            <w:r>
              <w:rPr>
                <w:rFonts w:ascii="Arial" w:cs="Arial" w:eastAsia="Arial" w:hAnsi="Arial"/>
                <w:sz w:val="29"/>
                <w:szCs w:val="29"/>
                <w:color w:val="auto"/>
                <w:vertAlign w:val="superscript"/>
              </w:rPr>
              <w:t>(3)</w:t>
            </w:r>
          </w:p>
        </w:tc>
        <w:tc>
          <w:tcPr>
            <w:tcW w:w="680" w:type="dxa"/>
            <w:vAlign w:val="bottom"/>
            <w:gridSpan w:val="2"/>
          </w:tcPr>
          <w:p>
            <w:pPr>
              <w:jc w:val="right"/>
              <w:ind w:right="172"/>
              <w:spacing w:after="0"/>
              <w:rPr>
                <w:sz w:val="20"/>
                <w:szCs w:val="20"/>
                <w:color w:val="auto"/>
              </w:rPr>
            </w:pPr>
            <w:r>
              <w:rPr>
                <w:rFonts w:ascii="Arial" w:cs="Arial" w:eastAsia="Arial" w:hAnsi="Arial"/>
                <w:sz w:val="18"/>
                <w:szCs w:val="18"/>
                <w:color w:val="auto"/>
              </w:rPr>
              <w:t>4.0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r>
      <w:tr>
        <w:trPr>
          <w:trHeight w:val="257"/>
        </w:trPr>
        <w:tc>
          <w:tcPr>
            <w:tcW w:w="6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Forfeiture rate</w:t>
            </w:r>
            <w:r>
              <w:rPr>
                <w:rFonts w:ascii="Arial" w:cs="Arial" w:eastAsia="Arial" w:hAnsi="Arial"/>
                <w:sz w:val="29"/>
                <w:szCs w:val="29"/>
                <w:color w:val="auto"/>
                <w:vertAlign w:val="superscript"/>
              </w:rPr>
              <w:t>(3)</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108"/>
        </w:trPr>
        <w:tc>
          <w:tcPr>
            <w:tcW w:w="212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historical and implied volatility.</w:t>
      </w:r>
    </w:p>
    <w:p>
      <w:pPr>
        <w:spacing w:after="0" w:line="252" w:lineRule="exact"/>
        <w:rPr>
          <w:rFonts w:ascii="Arial" w:cs="Arial" w:eastAsia="Arial" w:hAnsi="Arial"/>
          <w:sz w:val="18"/>
          <w:szCs w:val="18"/>
          <w:color w:val="auto"/>
        </w:rPr>
      </w:pPr>
    </w:p>
    <w:p>
      <w:pPr>
        <w:ind w:left="5620" w:right="4220" w:hanging="3900"/>
        <w:spacing w:after="0" w:line="519" w:lineRule="auto"/>
        <w:tabs>
          <w:tab w:leader="none" w:pos="22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the U.S. Treasury yield curve in effect at the date of grant.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45" w:lineRule="exact"/>
        <w:rPr>
          <w:sz w:val="20"/>
          <w:szCs w:val="20"/>
          <w:color w:val="auto"/>
        </w:rPr>
      </w:pPr>
    </w:p>
    <w:p>
      <w:pPr>
        <w:ind w:left="2260" w:hanging="540"/>
        <w:spacing w:after="0"/>
        <w:tabs>
          <w:tab w:leader="none" w:pos="2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the Company's historical data and expected exercise behavior.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generally uses treasury stock to settle stock option exercises. The total intrinsic value of options exercised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2010 and 2011 was $32.2 million, $42.3 million and $35.4 million, respectively. As of December 31, 2011, the intrinsic value of exercisable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was $103.6 million and 3.5 million options are available for future grant under the Company's option plans.</w:t>
      </w:r>
    </w:p>
    <w:p>
      <w:pPr>
        <w:spacing w:after="0" w:line="219" w:lineRule="exact"/>
        <w:rPr>
          <w:sz w:val="20"/>
          <w:szCs w:val="20"/>
          <w:color w:val="auto"/>
        </w:rPr>
      </w:pPr>
    </w:p>
    <w:p>
      <w:pPr>
        <w:jc w:val="both"/>
        <w:ind w:right="160" w:firstLine="351"/>
        <w:spacing w:after="0" w:line="370" w:lineRule="auto"/>
        <w:rPr>
          <w:sz w:val="20"/>
          <w:szCs w:val="20"/>
          <w:color w:val="auto"/>
        </w:rPr>
      </w:pPr>
      <w:r>
        <w:rPr>
          <w:rFonts w:ascii="Arial" w:cs="Arial" w:eastAsia="Arial" w:hAnsi="Arial"/>
          <w:sz w:val="15"/>
          <w:szCs w:val="15"/>
          <w:color w:val="auto"/>
        </w:rPr>
        <w:t>In addition, under the Company's Executive Incentive Plan and Deferred Compensation Plan, the Company periodically grants awards denominated in the Company's common stock. The Company granted awards with fair values of $20.9 million, $1.0 million, and $3.3 million in 2009, 2010 and 2011, respectively.</w:t>
      </w:r>
    </w:p>
    <w:p>
      <w:pPr>
        <w:spacing w:after="0" w:line="11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Further to its retention and incentive objectives, the Company granted awards under the Company's Long-Term Equity Incentive Plan with aggregate fair values of $21.0 million and $14.6 million during 2010 and 2011, respectively. These awards represent profits interests in the Company's Affiliates, and recipients of these awards have rights to cash flows beginning in 2018. Recipients may require the Company to purchase their interests starting in 2014.</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year ended December 31, 2011, the cash received and the actual tax benefit recognized for options exercised were $28.0 million and $8.2 million, respectively. During the year ended December 31, 2011, the excess tax benefit classified as a financing cash flow was $7.1 million. During the year ended December 31, 2010, the cash received and the actual tax benefit recognized for options exercised were $46.4 million and $14.6 million, respectively. During the year ended December 31, 2010, the excess tax benefit classified as a financing cash flow was $10.1 million.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recent share based compensation expense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84"/>
              </w:rPr>
              <w:t>Share Based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1"/>
        </w:trPr>
        <w:tc>
          <w:tcPr>
            <w:tcW w:w="420" w:type="dxa"/>
            <w:vAlign w:val="bottom"/>
          </w:tcPr>
          <w:p>
            <w:pPr>
              <w:spacing w:after="0"/>
              <w:rPr>
                <w:sz w:val="20"/>
                <w:szCs w:val="20"/>
                <w:color w:val="auto"/>
              </w:rPr>
            </w:pPr>
            <w:r>
              <w:rPr>
                <w:rFonts w:ascii="Arial" w:cs="Arial" w:eastAsia="Arial" w:hAnsi="Arial"/>
                <w:sz w:val="14"/>
                <w:szCs w:val="14"/>
                <w:b w:val="1"/>
                <w:bCs w:val="1"/>
                <w:color w:val="auto"/>
                <w:w w:val="91"/>
              </w:rPr>
              <w:t>Period</w:t>
            </w:r>
          </w:p>
        </w:tc>
        <w:tc>
          <w:tcPr>
            <w:tcW w:w="5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Expense</w:t>
            </w:r>
          </w:p>
        </w:tc>
        <w:tc>
          <w:tcPr>
            <w:tcW w:w="160" w:type="dxa"/>
            <w:vAlign w:val="bottom"/>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Tax Benefit</w:t>
            </w:r>
          </w:p>
        </w:tc>
        <w:tc>
          <w:tcPr>
            <w:tcW w:w="160" w:type="dxa"/>
            <w:vAlign w:val="bottom"/>
          </w:tcPr>
          <w:p>
            <w:pPr>
              <w:spacing w:after="0"/>
              <w:rPr>
                <w:sz w:val="15"/>
                <w:szCs w:val="15"/>
                <w:color w:val="auto"/>
              </w:rPr>
            </w:pPr>
          </w:p>
        </w:tc>
      </w:tr>
      <w:tr>
        <w:trPr>
          <w:trHeight w:val="190"/>
        </w:trPr>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2009</w:t>
            </w:r>
          </w:p>
        </w:tc>
        <w:tc>
          <w:tcPr>
            <w:tcW w:w="554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w:t>
            </w:r>
          </w:p>
        </w:tc>
        <w:tc>
          <w:tcPr>
            <w:tcW w:w="460" w:type="dxa"/>
            <w:vAlign w:val="bottom"/>
            <w:tcBorders>
              <w:top w:val="single" w:sz="8" w:color="CCEEFF"/>
            </w:tcBorders>
            <w:gridSpan w:val="2"/>
            <w:shd w:val="clear" w:color="auto" w:fill="CCEEFF"/>
          </w:tcPr>
          <w:p>
            <w:pPr>
              <w:jc w:val="right"/>
              <w:ind w:right="132"/>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2010</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2011</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r>
    </w:tbl>
    <w:p>
      <w:pPr>
        <w:spacing w:after="0" w:line="208"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of December 31, 2010, there was $75.4 million of compensation expense related to share-based compensation arrangements which will be recognized over a weighted average period of approximately four years (assuming no forfeitures). As of December 31, 2011, there was $80.0 million of compensation expense related to share-based compensation arrangements which will be recognized over a weighted average period of approximately three years (assuming no forfeitures).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Earnings Per Share</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shares of the Company's common stock outstanding during the period. Diluted earnings per share is similar to basic earnings per share, but adjusts for the dilutive effect of the potential issuance of incremental shares of the Company's common stock. The following is a reconciliation of the numerator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denominator used in the calculation of basic and diluted earnings per share available to common stockholders.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 (controlling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convertible securities, net of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Net income (controlling interest), as adjusted</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Average shares outstanding—basic</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instruments: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Stock options and other awards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Forward sale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Senior convertible securities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outstanding—diluted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more fully discussed in Notes 10 and 11, the Company had convertible securities outstanding during the periods presented and is required to apply the if-converted method to these securities in its calculation of diluted earnings per share.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174" w:lineRule="exact"/>
        <w:rPr>
          <w:sz w:val="20"/>
          <w:szCs w:val="20"/>
          <w:color w:val="auto"/>
        </w:rPr>
      </w:pPr>
    </w:p>
    <w:p>
      <w:pPr>
        <w:ind w:right="620" w:firstLine="348"/>
        <w:spacing w:after="0" w:line="259" w:lineRule="auto"/>
        <w:rPr>
          <w:sz w:val="20"/>
          <w:szCs w:val="20"/>
          <w:color w:val="auto"/>
        </w:rPr>
      </w:pPr>
      <w:r>
        <w:rPr>
          <w:rFonts w:ascii="Arial" w:cs="Arial" w:eastAsia="Arial" w:hAnsi="Arial"/>
          <w:sz w:val="18"/>
          <w:szCs w:val="18"/>
          <w:color w:val="auto"/>
        </w:rPr>
        <w:t>The Company did not repurchase any shares of common stock during the years ended December 31, 2009 and 2010. For the twelve months ended December 31, 2011, the Company repurchased approximately 0.7 million shares of common stock under the share repurchase programs approved by the Company's Board of Directors.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diluted earnings per share calculations in the table above exclude the anti-dilutive effect of the following shares: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1240" w:type="dxa"/>
            <w:vAlign w:val="bottom"/>
            <w:tcBorders>
              <w:bottom w:val="single" w:sz="8" w:color="auto"/>
            </w:tcBorders>
            <w:gridSpan w:val="5"/>
          </w:tcPr>
          <w:p>
            <w:pPr>
              <w:jc w:val="center"/>
              <w:ind w:left="300"/>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Senior convertible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Junior convertible trust preferred securities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bl>
    <w:p>
      <w:pPr>
        <w:spacing w:after="0" w:line="208"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As discussed further in Note 17, the Company may settle portions of its Affiliate equity purchases in shares of its common stock. Because it is the Company's intent to settle these potential repurchases in cash, the calculation of diluted earnings per share excludes any potential dilutive effect from possible share settlements.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Financial Instruments and Risk Management</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is exposed to market risks brought on by changes in interest and currency exchange rates. The Company has not entered into foreign currency transactions or derivative financial instruments to reduce risks associated with changes in currency exchange rates. The Company may use derivative financial instruments to reduce risks associated with changes in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amounts and credit exposures of derivatives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notional amount of derivatives does not represent amounts that are exchanged by the parties, and thus are not a measure of the Company's exposure. The amounts exchanged are calculated on the basis of the notional or contract amounts, as well as on other terms of the interest rate derivatives and the volatility of these rates and prices.</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would be exposed to credit-related losses in the event of nonperformance by the counter parties that issued the financial instruments, although the Company does not expect that the counter parties to interest rate derivatives will fail to meet their obligations, given their typically high credit ratings. The credit exposure of derivative contracts is represented by the positive fair value of contracts at the reporting date, reduced by the effects of master netting agreements and collateral posted by the counterparty.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From time to time, the Company enters into derivative financial instruments to reduce exposure to interest rate risk. The Company does not hold or issue derivative financial instruments for trading purposes. Derivative financial instruments are intended to enable the Company to achieve a level of variable-rate or fixed-rate debt that is acceptable to management and to limit interest rate exposure. The Company agrees with another party to exchange the difference between fixed-rate and floating rate interest amounts calculated by reference to an agreed notional principal amount.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Fair value of a financial instrument is the amount at which the instrument could be exchanged in a current transaction between willing parties, other than in a forced or liquidation sale. Quoted market prices are used when available; otherwise, management estimates fair value based on prices of financial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instruments with similar characteristics or by using valuation techniques such as discounted cash flow models. Valuation techniques involve uncertainties and require assumptions and judgments regarding prepayments, credit risk and discount rates. Changes in these assumptions will result in different valuation estimates. The fair value presented would not necessarily be realized in an immediate sale nor are there typically plans to settle liabilities prior to contractual maturity. Additionally, current authoritative guidance allows companies to use a wide range of valuation techniques; therefore, it may be difficult to compare the Company's fair value information to other companies' fair value information.</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carrying amount of cash, cash equivalents and short-term investments approximates fair value because of the short-term nature of these instruments. The carrying value of notes receivable approximate fair value because interest rates and other terms are at market rates. The carrying value of notes payable approximates fair value principally because of the short-term nature of the notes. The carrying value of senior bank debt approximates fair value because the debt is a credit facility with variable interest based on selected short-term rates. The fair market value of the senior convertible securities and the junior convertible trust preferred securities at December 31, 2011 was $500.0 million and $594.3 million, respectively.</w:t>
      </w:r>
    </w:p>
    <w:p>
      <w:pPr>
        <w:spacing w:after="0" w:line="164"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quarterly results of operations of the Company for the years ended December 31, 2010 and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56"/>
              <w:spacing w:after="0" w:line="129"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79"/>
              </w:rPr>
              <w:t>Second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97"/>
              </w:rPr>
              <w:t>Third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90"/>
              </w:rPr>
              <w:t>Fourth</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income (controlling interest)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r>
      <w:tr>
        <w:trPr>
          <w:trHeight w:val="851"/>
        </w:trPr>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56"/>
              <w:spacing w:after="0" w:line="129"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79"/>
              </w:rPr>
              <w:t>Second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97"/>
              </w:rPr>
              <w:t>Third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90"/>
              </w:rPr>
              <w:t>Fourth</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60" w:type="dxa"/>
            <w:vAlign w:val="bottom"/>
            <w:shd w:val="clear" w:color="auto" w:fill="CCEEFF"/>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Net income (controlling interest)</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right="220" w:hanging="532"/>
        <w:spacing w:after="0" w:line="294"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the third quarter of 2011, the Company recorded a deferred tax benefit of $3.9 million ($2.6 million attributable to the controlling interest) from the revaluation of its deferred taxes as a result of a reduction of corporate tax rates in the United Kingdom. In the fourth quarter of 2011, the Company determined that the revaluation of the tax benefit should have been $7.6 million ($5.2 million to the controlling interest). The net effect of this change, which was reflected as an out-of-period adjustment in the fourth quarter, reduced Income taxes by $3.7 million ($2.6 million to the controlling interest) and was not material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 Party Transactions</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Company periodically records amounts receivable and payable to Affiliate partners in connection with the transfer of Affiliate equity interests. The Company also has liabilities to related parties for deferred purchase price and contingent payment arrangements in connection with certain business combinations.</w:t>
      </w:r>
    </w:p>
    <w:p>
      <w:pPr>
        <w:spacing w:after="0" w:line="11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Total receivable at December 31, 2010 was $42.9 million, which is included in Other assets. The total receivable at December 31, 2011 was $41.3 million, of which $1.4 million is included in Prepaid expenses and other current assets and $39.9 million is included in Other assets. The total payable as of December 31, 2010 was $183.0 million, of which $114.8 million is included in current liabilities and $68.2 million is included in Other long-term liabilities. The total payable as of December 31, 2011 was $84.1 million, of which $33.2 million is included in current liabilities and $50.9 million is included in Other long-term liabilities.</w:t>
      </w:r>
    </w:p>
    <w:p>
      <w:pPr>
        <w:spacing w:after="0" w:line="16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certain cases, Affiliate management owners and Company officers may serve as trustees or directors of certain mutual funds from which the Affiliate earns advisory fee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Segment Information</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Management has assessed and determined that the Company operates in three business segments representing the Company's three principal distribution channels: Mutual Fund, Institutional and High Net Worth, each of which has different client relationships.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Revenue in the Mutual Fund distribution channel is earned from advisory and sub-advisory relationships with all domestically-registered investment products as well as non-institutional investment products that are registered abroad. Revenue in the Institutional distribution channel is earned from relationships with foundations and endowments, defined benefit and defined contribution plans and Taft-Hartley plans. Revenue in the High Net Worth distribution channel is earned from relationships with wealthy individuals, family trusts and managed account programs.</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Revenue earned from client relationships managed by Affiliates accounted for under the equity method is not consolidated with the Company's reported Revenue but instead is included (net of operating expenses, including amortization) in Income from equity method investments, and reported in the distribution channel in which the Affiliate operates. Income tax attributable to the profits of the Company's equity method Affiliates is reported within the Company's consolidated income tax provision.</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firms with revenue sharing arrangements, a certain percentage of revenue is allocated for use by management of an Affiliate in paying operating expenses of that Affiliate, including salaries and bonuses, and is called an "Operating Allocation." In reporting segment operating expenses, Affiliate expenses are allocated to a particular segment on a pro rata basis with respect to the revenue generated by that Affiliate in such segment. Generally, as revenue increases, additional compensation is typically paid to Affiliate management partners from the Operating Allocation. As a result, the contractual expense allocation pursuant to a revenue sharing arrangement may result in the characterization of any growth in profit margin beyond the Company's Owners' Allocation as an operating expense. All other operating expenses (excluding intangible amortization) and interest expense have been allocated to segments based on the proportion of cash flow distributions reported by Affiliates in each segment.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2009</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Mutual Fund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8"/>
              </w:rPr>
              <w:t>Institutional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other amortization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556.3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Investment and other (income) loss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equity method investments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w w:val="99"/>
              </w:rPr>
              <w:t>Investment (income) loss from Affiliate investments in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partnerships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Net income (non-controlling interests)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Net (income) loss (non-controlling interests in partnerships)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(controlling interest)</w:t>
            </w:r>
          </w:p>
        </w:tc>
        <w:tc>
          <w:tcPr>
            <w:tcW w:w="6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1,182.9</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1,703.0</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3,390.9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Pr>
          <w:p>
            <w:pPr>
              <w:spacing w:after="0"/>
              <w:rPr>
                <w:sz w:val="19"/>
                <w:szCs w:val="19"/>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19"/>
                <w:szCs w:val="19"/>
                <w:color w:val="auto"/>
              </w:rPr>
            </w:pPr>
          </w:p>
        </w:tc>
        <w:tc>
          <w:tcPr>
            <w:tcW w:w="4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1,413.2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jc w:val="right"/>
              <w:ind w:right="52"/>
              <w:spacing w:after="0"/>
              <w:rPr>
                <w:sz w:val="20"/>
                <w:szCs w:val="20"/>
                <w:color w:val="auto"/>
              </w:rPr>
            </w:pPr>
            <w:r>
              <w:rPr>
                <w:rFonts w:ascii="Arial" w:cs="Arial" w:eastAsia="Arial" w:hAnsi="Arial"/>
                <w:sz w:val="18"/>
                <w:szCs w:val="18"/>
                <w:color w:val="auto"/>
                <w:w w:val="99"/>
              </w:rPr>
              <w:t>80</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Mutual Fund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8"/>
              </w:rPr>
              <w:t>Institutional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1,358.2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other amortization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910.1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Investment and other (income) loss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equity method investments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w w:val="99"/>
              </w:rPr>
              <w:t>Investment (income) loss from Affiliate investments in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partnerships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Net income (non-controlling interests)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Net (income) loss (non-controlling interests in partnerships)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(controlling interest)</w:t>
            </w:r>
          </w:p>
        </w:tc>
        <w:tc>
          <w:tcPr>
            <w:tcW w:w="6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1,848.4</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2,997.4</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5,279.8</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19"/>
                <w:szCs w:val="19"/>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Pr>
          <w:p>
            <w:pPr>
              <w:spacing w:after="0"/>
              <w:rPr>
                <w:sz w:val="19"/>
                <w:szCs w:val="19"/>
                <w:color w:val="auto"/>
              </w:rPr>
            </w:pPr>
          </w:p>
        </w:tc>
        <w:tc>
          <w:tcPr>
            <w:tcW w:w="4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2,121.9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jc w:val="right"/>
              <w:ind w:right="52"/>
              <w:spacing w:after="0"/>
              <w:rPr>
                <w:sz w:val="20"/>
                <w:szCs w:val="20"/>
                <w:color w:val="auto"/>
              </w:rPr>
            </w:pPr>
            <w:r>
              <w:rPr>
                <w:rFonts w:ascii="Arial" w:cs="Arial" w:eastAsia="Arial" w:hAnsi="Arial"/>
                <w:sz w:val="18"/>
                <w:szCs w:val="18"/>
                <w:color w:val="auto"/>
                <w:w w:val="99"/>
              </w:rPr>
              <w:t>81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AFFILIATED MANAGERS GROUP,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Mutual Fund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8"/>
              </w:rPr>
              <w:t>Institutional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High Net Worth</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1,704.8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other amortization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1,106.0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1,218.7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Investment and other (income)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equity method investments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Investment (income) loss from Affiliate investments in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partnerships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Net income (non-controlling interests)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Net (income) loss (non-controlling interests in partnerships)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income (controlling interest)</w:t>
            </w:r>
          </w:p>
        </w:tc>
        <w:tc>
          <w:tcPr>
            <w:tcW w:w="4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1,920.6</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2,836.2</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5,218.9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19"/>
                <w:szCs w:val="19"/>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9"/>
                <w:szCs w:val="19"/>
                <w:color w:val="auto"/>
              </w:rPr>
            </w:pPr>
          </w:p>
        </w:tc>
        <w:tc>
          <w:tcPr>
            <w:tcW w:w="4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2,117.3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2009, 2010 and 2011, revenue attributable to clients domiciled outside the U.S. was approximately 18%, 33% and 39% of total revenue, respectively.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2009, equity method investments of $12.1 million, $602.1 million and $44.1 million were included in the total assets of the Mutual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Fund, Institutional and High Net Worth segments, respectively. As of December 31, 2010, equity method investments of $9.1 million, $630.1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$39.7 million were included in the total assets of the Mutual Fund, Institutional and High Net Worth segments, respectively. As of December 31, 2011,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 investments of $75.6 million, $490.6 million and $49.6 million were included in the total assets of the Mutual Fund, Institutional and High Net Worth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segments, respectively.</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Valuation and Qualifying Accounts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5"/>
              </w:rPr>
              <w:t>Additions Charged to</w:t>
            </w:r>
          </w:p>
        </w:tc>
        <w:tc>
          <w:tcPr>
            <w:tcW w:w="16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Additions Charged</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Balance</w:t>
            </w:r>
          </w:p>
        </w:tc>
      </w:tr>
      <w:tr>
        <w:trPr>
          <w:trHeight w:val="161"/>
        </w:trPr>
        <w:tc>
          <w:tcPr>
            <w:tcW w:w="2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of Period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97"/>
              <w:spacing w:after="0"/>
              <w:rPr>
                <w:sz w:val="20"/>
                <w:szCs w:val="20"/>
                <w:color w:val="auto"/>
              </w:rPr>
            </w:pPr>
            <w:r>
              <w:rPr>
                <w:rFonts w:ascii="Arial" w:cs="Arial" w:eastAsia="Arial" w:hAnsi="Arial"/>
                <w:sz w:val="14"/>
                <w:szCs w:val="14"/>
                <w:b w:val="1"/>
                <w:bCs w:val="1"/>
                <w:color w:val="auto"/>
                <w:w w:val="84"/>
              </w:rPr>
              <w:t>Costs and Expenses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w w:val="94"/>
              </w:rPr>
              <w:t>to Other Accounts</w:t>
            </w:r>
          </w:p>
        </w:tc>
        <w:tc>
          <w:tcPr>
            <w:tcW w:w="160" w:type="dxa"/>
            <w:vAlign w:val="bottom"/>
          </w:tcPr>
          <w:p>
            <w:pPr>
              <w:spacing w:after="0"/>
              <w:rPr>
                <w:sz w:val="14"/>
                <w:szCs w:val="14"/>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Deductions</w:t>
            </w:r>
          </w:p>
        </w:tc>
        <w:tc>
          <w:tcPr>
            <w:tcW w:w="1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End of Period</w:t>
            </w:r>
          </w:p>
        </w:tc>
      </w:tr>
      <w:tr>
        <w:trPr>
          <w:trHeight w:val="210"/>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Valuation Allowance</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ind w:left="160"/>
              <w:spacing w:after="0"/>
              <w:rPr>
                <w:sz w:val="20"/>
                <w:szCs w:val="20"/>
                <w:color w:val="auto"/>
              </w:rPr>
            </w:pPr>
            <w:r>
              <w:rPr>
                <w:rFonts w:ascii="Arial" w:cs="Arial" w:eastAsia="Arial" w:hAnsi="Arial"/>
                <w:sz w:val="18"/>
                <w:szCs w:val="18"/>
                <w:color w:val="auto"/>
              </w:rPr>
              <w:t>Year Ending December 31,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r>
      <w:tr>
        <w:trPr>
          <w:trHeight w:val="473"/>
        </w:trPr>
        <w:tc>
          <w:tcPr>
            <w:tcW w:w="2980" w:type="dxa"/>
            <w:vAlign w:val="bottom"/>
            <w:gridSpan w:val="3"/>
          </w:tcPr>
          <w:p>
            <w:pPr>
              <w:spacing w:after="0"/>
              <w:rPr>
                <w:sz w:val="20"/>
                <w:szCs w:val="20"/>
                <w:color w:val="auto"/>
              </w:rPr>
            </w:pPr>
            <w:r>
              <w:rPr>
                <w:rFonts w:ascii="Arial" w:cs="Arial" w:eastAsia="Arial" w:hAnsi="Arial"/>
                <w:sz w:val="18"/>
                <w:szCs w:val="18"/>
                <w:color w:val="auto"/>
              </w:rPr>
              <w:t>Other Allowances</w:t>
            </w:r>
            <w:r>
              <w:rPr>
                <w:rFonts w:ascii="Arial" w:cs="Arial" w:eastAsia="Arial" w:hAnsi="Arial"/>
                <w:sz w:val="29"/>
                <w:szCs w:val="29"/>
                <w:color w:val="auto"/>
                <w:vertAlign w:val="superscript"/>
              </w:rPr>
              <w:t>(1)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1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Allowances represents reserves on notes received in connection with transfers of our interests in certain Affiliates as well as other receivable amounts, which we consider uncollectible.</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required by Rule 13a-15 under the Exchange Act, as of December 31, 2011,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as of the end of the period covered by this report, that our disclosure controls and procedures are effective to ensure that (i) information required to be disclosed by us in the reports we file or submit under the Exchange Act is recorded, processed, summarized and reported within the time periods specified in the Securities and Exchange Commission's rules and forms, and (ii) such information is accumulated and communicated to our management, including our principal executive officer and principal financial officers as appropriate to allow timely decisions regarding required disclosure. In designing and evaluating our disclosure controls and procedures, we and our management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are designed to provide reasonable assurance of achieving their stated objectives and our principal executive officer and principal financial officers concluded that our disclosure controls and procedures are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Item 8 for "Management's Report on Internal Control over Financial Reporting," which is incorporated by reference herein.</w:t>
      </w:r>
    </w:p>
    <w:p>
      <w:pPr>
        <w:spacing w:after="0" w:line="18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Our independent registered public accounting firm, PricewaterhouseCoopers LLP, has issued an attestation report on our internal control over financial reporting, which is included in Item 8.</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2011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Information required by this Item will be set forth in our proxy statement for our 2012 Annual Meeting of shareholders (to be filed within 120 days after December 31, 2011) (the "Proxy Statement"), and is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executive compensation will be set forth in our Proxy Statement,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relating to principal accountant fees and services will be set forth in our Proxy Statement, and is incorporated herein by reference.</w:t>
      </w:r>
    </w:p>
    <w:p>
      <w:pPr>
        <w:spacing w:after="0" w:line="2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31"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   Financial Statements: See Item 8 of this Annual Report on Form 10-K.</w:t>
      </w:r>
    </w:p>
    <w:p>
      <w:pPr>
        <w:spacing w:after="0" w:line="252" w:lineRule="exact"/>
        <w:rPr>
          <w:rFonts w:ascii="Arial" w:cs="Arial" w:eastAsia="Arial" w:hAnsi="Arial"/>
          <w:sz w:val="18"/>
          <w:szCs w:val="18"/>
          <w:color w:val="auto"/>
        </w:rPr>
      </w:pPr>
    </w:p>
    <w:p>
      <w:pPr>
        <w:ind w:left="880" w:hanging="440"/>
        <w:spacing w:after="0"/>
        <w:tabs>
          <w:tab w:leader="none" w:pos="8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Financial Statement Schedule: See Item 8 of this Annual Report on Form 10-K.</w:t>
      </w:r>
    </w:p>
    <w:p>
      <w:pPr>
        <w:spacing w:after="0" w:line="275" w:lineRule="exact"/>
        <w:rPr>
          <w:rFonts w:ascii="Arial" w:cs="Arial" w:eastAsia="Arial" w:hAnsi="Arial"/>
          <w:sz w:val="16"/>
          <w:szCs w:val="16"/>
          <w:color w:val="auto"/>
        </w:rPr>
      </w:pPr>
    </w:p>
    <w:p>
      <w:pPr>
        <w:ind w:left="5620" w:right="3359" w:hanging="5180"/>
        <w:spacing w:after="0" w:line="613" w:lineRule="auto"/>
        <w:tabs>
          <w:tab w:leader="none" w:pos="866"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Exhibits: See the Exhibit Index attached hereto and incorporated by reference herein.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AFFILIATED MANAGERS GROUP, INC.</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42" w:lineRule="exact"/>
        <w:rPr>
          <w:sz w:val="20"/>
          <w:szCs w:val="20"/>
          <w:color w:val="auto"/>
        </w:rPr>
      </w:pPr>
    </w:p>
    <w:p>
      <w:pPr>
        <w:ind w:left="5720"/>
        <w:spacing w:after="0"/>
        <w:tabs>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 HEALEY</w:t>
      </w:r>
    </w:p>
    <w:p>
      <w:pPr>
        <w:spacing w:after="0"/>
        <w:rPr>
          <w:sz w:val="20"/>
          <w:szCs w:val="20"/>
          <w:color w:val="auto"/>
        </w:rPr>
      </w:pPr>
      <w:r>
        <w:rPr>
          <w:rFonts w:ascii="Arial" w:cs="Arial" w:eastAsia="Arial" w:hAnsi="Arial"/>
          <w:sz w:val="18"/>
          <w:szCs w:val="18"/>
          <w:color w:val="auto"/>
        </w:rPr>
        <w:t>Date: February 23,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-57150</wp:posOffset>
            </wp:positionV>
            <wp:extent cx="31984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Sean M. Healey</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Executive Officer and Chairman of the Board of Directors</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SEAN M. HEALEY</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0"/>
              </w:rPr>
              <w:t>Chief Executive Officer and</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960" w:type="dxa"/>
            <w:vAlign w:val="bottom"/>
            <w:gridSpan w:val="3"/>
            <w:vMerge w:val="restart"/>
          </w:tcPr>
          <w:p>
            <w:pPr>
              <w:jc w:val="center"/>
              <w:ind w:left="972"/>
              <w:spacing w:after="0"/>
              <w:rPr>
                <w:sz w:val="20"/>
                <w:szCs w:val="20"/>
                <w:color w:val="auto"/>
              </w:rPr>
            </w:pPr>
            <w:r>
              <w:rPr>
                <w:rFonts w:ascii="Arial" w:cs="Arial" w:eastAsia="Arial" w:hAnsi="Arial"/>
                <w:sz w:val="18"/>
                <w:szCs w:val="18"/>
                <w:color w:val="auto"/>
                <w:w w:val="89"/>
              </w:rPr>
              <w:t>Chairman of the Board of Directors</w:t>
            </w: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87"/>
              </w:rPr>
              <w:t>Sean M. Healey</w:t>
            </w:r>
          </w:p>
        </w:tc>
        <w:tc>
          <w:tcPr>
            <w:tcW w:w="596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980" w:type="dxa"/>
            <w:vAlign w:val="bottom"/>
            <w:gridSpan w:val="3"/>
            <w:vMerge w:val="continue"/>
          </w:tcPr>
          <w:p>
            <w:pPr>
              <w:spacing w:after="0"/>
              <w:rPr>
                <w:sz w:val="19"/>
                <w:szCs w:val="19"/>
                <w:color w:val="auto"/>
              </w:rPr>
            </w:pP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2"/>
              </w:rPr>
              <w:t>(Principal Executive Officer)</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JAY C. HORGEN</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0"/>
              </w:rPr>
              <w:t>Chief Financial Officer and Treasurer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960" w:type="dxa"/>
            <w:vAlign w:val="bottom"/>
            <w:gridSpan w:val="3"/>
            <w:vMerge w:val="restart"/>
          </w:tcPr>
          <w:p>
            <w:pPr>
              <w:jc w:val="center"/>
              <w:ind w:left="972"/>
              <w:spacing w:after="0"/>
              <w:rPr>
                <w:sz w:val="20"/>
                <w:szCs w:val="20"/>
                <w:color w:val="auto"/>
              </w:rPr>
            </w:pPr>
            <w:r>
              <w:rPr>
                <w:rFonts w:ascii="Arial" w:cs="Arial" w:eastAsia="Arial" w:hAnsi="Arial"/>
                <w:sz w:val="18"/>
                <w:szCs w:val="18"/>
                <w:color w:val="auto"/>
                <w:w w:val="91"/>
              </w:rPr>
              <w:t>(Principal Financial and Principal</w:t>
            </w: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86"/>
              </w:rPr>
              <w:t>Jay C. Horgen</w:t>
            </w:r>
          </w:p>
        </w:tc>
        <w:tc>
          <w:tcPr>
            <w:tcW w:w="596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980" w:type="dxa"/>
            <w:vAlign w:val="bottom"/>
            <w:gridSpan w:val="3"/>
            <w:vMerge w:val="continue"/>
          </w:tcPr>
          <w:p>
            <w:pPr>
              <w:spacing w:after="0"/>
              <w:rPr>
                <w:sz w:val="19"/>
                <w:szCs w:val="19"/>
                <w:color w:val="auto"/>
              </w:rPr>
            </w:pP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2"/>
              </w:rPr>
              <w:t>Accounting Officer)</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SAMUEL T. BYRNE</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3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Samuel T. Byrne</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/s/ DWIGHT D. CHURCHILL</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3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Dwight D. Churchill</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 HAROLD J. MEYERMAN</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3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Harold J. Meyerman</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/s/ WILLIAM J. NUTT</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3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William J. Nutt</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RITA M. RODRIGUEZ</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3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Rita M. Rodriguez</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0"/>
              </w:rPr>
              <w:t>/s/ PATRICK T. RYAN</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3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Patrick T. Ryan</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 JIDE J. ZEITLIN</w:t>
            </w:r>
          </w:p>
        </w:tc>
        <w:tc>
          <w:tcPr>
            <w:tcW w:w="5960" w:type="dxa"/>
            <w:vAlign w:val="bottom"/>
            <w:gridSpan w:val="3"/>
          </w:tcPr>
          <w:p>
            <w:pPr>
              <w:jc w:val="center"/>
              <w:ind w:left="972"/>
              <w:spacing w:after="0"/>
              <w:rPr>
                <w:sz w:val="20"/>
                <w:szCs w:val="20"/>
                <w:color w:val="auto"/>
              </w:rPr>
            </w:pPr>
            <w:r>
              <w:rPr>
                <w:rFonts w:ascii="Arial" w:cs="Arial" w:eastAsia="Arial" w:hAnsi="Arial"/>
                <w:sz w:val="18"/>
                <w:szCs w:val="18"/>
                <w:color w:val="auto"/>
                <w:w w:val="91"/>
              </w:rPr>
              <w:t>Director</w:t>
            </w:r>
          </w:p>
        </w:tc>
        <w:tc>
          <w:tcPr>
            <w:tcW w:w="2480" w:type="dxa"/>
            <w:vAlign w:val="bottom"/>
            <w:gridSpan w:val="3"/>
          </w:tcPr>
          <w:p>
            <w:pPr>
              <w:jc w:val="center"/>
              <w:ind w:left="1012"/>
              <w:spacing w:after="0"/>
              <w:rPr>
                <w:sz w:val="20"/>
                <w:szCs w:val="20"/>
                <w:color w:val="auto"/>
              </w:rPr>
            </w:pPr>
            <w:r>
              <w:rPr>
                <w:rFonts w:ascii="Arial" w:cs="Arial" w:eastAsia="Arial" w:hAnsi="Arial"/>
                <w:sz w:val="18"/>
                <w:szCs w:val="18"/>
                <w:color w:val="auto"/>
                <w:w w:val="88"/>
              </w:rPr>
              <w:t>February 23, 2012</w:t>
            </w:r>
          </w:p>
        </w:tc>
        <w:tc>
          <w:tcPr>
            <w:tcW w:w="0" w:type="dxa"/>
            <w:vAlign w:val="bottom"/>
          </w:tcPr>
          <w:p>
            <w:pPr>
              <w:spacing w:after="0"/>
              <w:rPr>
                <w:sz w:val="1"/>
                <w:szCs w:val="1"/>
                <w:color w:val="auto"/>
              </w:rPr>
            </w:pPr>
          </w:p>
        </w:tc>
      </w:tr>
      <w:tr>
        <w:trPr>
          <w:trHeight w:val="97"/>
        </w:trPr>
        <w:tc>
          <w:tcPr>
            <w:tcW w:w="2980" w:type="dxa"/>
            <w:vAlign w:val="bottom"/>
            <w:tcBorders>
              <w:bottom w:val="single" w:sz="8" w:color="auto"/>
            </w:tcBorders>
            <w:gridSpan w:val="3"/>
          </w:tcPr>
          <w:p>
            <w:pPr>
              <w:spacing w:after="0"/>
              <w:rPr>
                <w:sz w:val="8"/>
                <w:szCs w:val="8"/>
                <w:color w:val="auto"/>
              </w:rPr>
            </w:pPr>
          </w:p>
        </w:tc>
        <w:tc>
          <w:tcPr>
            <w:tcW w:w="3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9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Jide J. Zeitlin</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60" w:type="dxa"/>
            <w:vAlign w:val="bottom"/>
          </w:tcPr>
          <w:p>
            <w:pPr>
              <w:spacing w:after="0"/>
              <w:rPr>
                <w:sz w:val="19"/>
                <w:szCs w:val="19"/>
                <w:color w:val="auto"/>
              </w:rPr>
            </w:pPr>
          </w:p>
        </w:tc>
        <w:tc>
          <w:tcPr>
            <w:tcW w:w="9560" w:type="dxa"/>
            <w:vAlign w:val="bottom"/>
          </w:tcPr>
          <w:p>
            <w:pPr>
              <w:ind w:left="3320"/>
              <w:spacing w:after="0"/>
              <w:rPr>
                <w:sz w:val="20"/>
                <w:szCs w:val="20"/>
                <w:color w:val="auto"/>
              </w:rPr>
            </w:pPr>
            <w:r>
              <w:rPr>
                <w:rFonts w:ascii="Arial" w:cs="Arial" w:eastAsia="Arial" w:hAnsi="Arial"/>
                <w:sz w:val="18"/>
                <w:szCs w:val="18"/>
                <w:b w:val="1"/>
                <w:bCs w:val="1"/>
                <w:color w:val="auto"/>
              </w:rPr>
              <w:t>Exhibit Index</w:t>
            </w:r>
          </w:p>
        </w:tc>
      </w:tr>
      <w:tr>
        <w:trPr>
          <w:trHeight w:val="593"/>
        </w:trPr>
        <w:tc>
          <w:tcPr>
            <w:tcW w:w="1860" w:type="dxa"/>
            <w:vAlign w:val="bottom"/>
          </w:tcPr>
          <w:p>
            <w:pPr>
              <w:jc w:val="right"/>
              <w:spacing w:after="0"/>
              <w:rPr>
                <w:sz w:val="20"/>
                <w:szCs w:val="20"/>
                <w:color w:val="auto"/>
              </w:rPr>
            </w:pPr>
            <w:r>
              <w:rPr>
                <w:rFonts w:ascii="Arial" w:cs="Arial" w:eastAsia="Arial" w:hAnsi="Arial"/>
                <w:sz w:val="18"/>
                <w:szCs w:val="18"/>
                <w:color w:val="auto"/>
              </w:rPr>
              <w:t>3.1</w:t>
            </w:r>
          </w:p>
        </w:tc>
        <w:tc>
          <w:tcPr>
            <w:tcW w:w="9560" w:type="dxa"/>
            <w:vAlign w:val="bottom"/>
          </w:tcPr>
          <w:p>
            <w:pPr>
              <w:ind w:left="80"/>
              <w:spacing w:after="0"/>
              <w:rPr>
                <w:sz w:val="20"/>
                <w:szCs w:val="20"/>
                <w:color w:val="auto"/>
              </w:rPr>
            </w:pPr>
            <w:r>
              <w:rPr>
                <w:rFonts w:ascii="Arial" w:cs="Arial" w:eastAsia="Arial" w:hAnsi="Arial"/>
                <w:sz w:val="18"/>
                <w:szCs w:val="18"/>
                <w:color w:val="auto"/>
              </w:rPr>
              <w:t>Amended and Restated Certificate of Incorporation</w:t>
            </w:r>
            <w:r>
              <w:rPr>
                <w:rFonts w:ascii="Arial" w:cs="Arial" w:eastAsia="Arial" w:hAnsi="Arial"/>
                <w:sz w:val="29"/>
                <w:szCs w:val="29"/>
                <w:color w:val="auto"/>
                <w:vertAlign w:val="superscript"/>
              </w:rPr>
              <w:t>(1)</w:t>
            </w:r>
          </w:p>
        </w:tc>
      </w:tr>
      <w:tr>
        <w:trPr>
          <w:trHeight w:val="500"/>
        </w:trPr>
        <w:tc>
          <w:tcPr>
            <w:tcW w:w="1860" w:type="dxa"/>
            <w:vAlign w:val="bottom"/>
          </w:tcPr>
          <w:p>
            <w:pPr>
              <w:jc w:val="right"/>
              <w:spacing w:after="0"/>
              <w:rPr>
                <w:sz w:val="20"/>
                <w:szCs w:val="20"/>
                <w:color w:val="auto"/>
              </w:rPr>
            </w:pPr>
            <w:r>
              <w:rPr>
                <w:rFonts w:ascii="Arial" w:cs="Arial" w:eastAsia="Arial" w:hAnsi="Arial"/>
                <w:sz w:val="18"/>
                <w:szCs w:val="18"/>
                <w:color w:val="auto"/>
              </w:rPr>
              <w:t>3.2</w:t>
            </w:r>
          </w:p>
        </w:tc>
        <w:tc>
          <w:tcPr>
            <w:tcW w:w="9560" w:type="dxa"/>
            <w:vAlign w:val="bottom"/>
          </w:tcPr>
          <w:p>
            <w:pPr>
              <w:ind w:left="80"/>
              <w:spacing w:after="0"/>
              <w:rPr>
                <w:sz w:val="20"/>
                <w:szCs w:val="20"/>
                <w:color w:val="auto"/>
              </w:rPr>
            </w:pPr>
            <w:r>
              <w:rPr>
                <w:rFonts w:ascii="Arial" w:cs="Arial" w:eastAsia="Arial" w:hAnsi="Arial"/>
                <w:sz w:val="18"/>
                <w:szCs w:val="18"/>
                <w:color w:val="auto"/>
              </w:rPr>
              <w:t>Amendment to Amended and Restated Certificate of Incorporation</w:t>
            </w:r>
            <w:r>
              <w:rPr>
                <w:rFonts w:ascii="Arial" w:cs="Arial" w:eastAsia="Arial" w:hAnsi="Arial"/>
                <w:sz w:val="29"/>
                <w:szCs w:val="29"/>
                <w:color w:val="auto"/>
                <w:vertAlign w:val="superscript"/>
              </w:rPr>
              <w:t>(2)</w:t>
            </w:r>
          </w:p>
        </w:tc>
      </w:tr>
      <w:tr>
        <w:trPr>
          <w:trHeight w:val="500"/>
        </w:trPr>
        <w:tc>
          <w:tcPr>
            <w:tcW w:w="1860" w:type="dxa"/>
            <w:vAlign w:val="bottom"/>
          </w:tcPr>
          <w:p>
            <w:pPr>
              <w:jc w:val="right"/>
              <w:spacing w:after="0"/>
              <w:rPr>
                <w:sz w:val="20"/>
                <w:szCs w:val="20"/>
                <w:color w:val="auto"/>
              </w:rPr>
            </w:pPr>
            <w:r>
              <w:rPr>
                <w:rFonts w:ascii="Arial" w:cs="Arial" w:eastAsia="Arial" w:hAnsi="Arial"/>
                <w:sz w:val="18"/>
                <w:szCs w:val="18"/>
                <w:color w:val="auto"/>
              </w:rPr>
              <w:t>3.3</w:t>
            </w:r>
          </w:p>
        </w:tc>
        <w:tc>
          <w:tcPr>
            <w:tcW w:w="9560" w:type="dxa"/>
            <w:vAlign w:val="bottom"/>
          </w:tcPr>
          <w:p>
            <w:pPr>
              <w:ind w:left="80"/>
              <w:spacing w:after="0"/>
              <w:rPr>
                <w:sz w:val="20"/>
                <w:szCs w:val="20"/>
                <w:color w:val="auto"/>
              </w:rPr>
            </w:pPr>
            <w:r>
              <w:rPr>
                <w:rFonts w:ascii="Arial" w:cs="Arial" w:eastAsia="Arial" w:hAnsi="Arial"/>
                <w:sz w:val="18"/>
                <w:szCs w:val="18"/>
                <w:color w:val="auto"/>
              </w:rPr>
              <w:t>Amendment to Amended and Restated Certificate of Incorporation</w:t>
            </w:r>
            <w:r>
              <w:rPr>
                <w:rFonts w:ascii="Arial" w:cs="Arial" w:eastAsia="Arial" w:hAnsi="Arial"/>
                <w:sz w:val="29"/>
                <w:szCs w:val="29"/>
                <w:color w:val="auto"/>
                <w:vertAlign w:val="superscript"/>
              </w:rPr>
              <w:t>(3)</w:t>
            </w:r>
          </w:p>
        </w:tc>
      </w:tr>
      <w:tr>
        <w:trPr>
          <w:trHeight w:val="500"/>
        </w:trPr>
        <w:tc>
          <w:tcPr>
            <w:tcW w:w="1860" w:type="dxa"/>
            <w:vAlign w:val="bottom"/>
          </w:tcPr>
          <w:p>
            <w:pPr>
              <w:jc w:val="right"/>
              <w:spacing w:after="0"/>
              <w:rPr>
                <w:sz w:val="20"/>
                <w:szCs w:val="20"/>
                <w:color w:val="auto"/>
              </w:rPr>
            </w:pPr>
            <w:r>
              <w:rPr>
                <w:rFonts w:ascii="Arial" w:cs="Arial" w:eastAsia="Arial" w:hAnsi="Arial"/>
                <w:sz w:val="18"/>
                <w:szCs w:val="18"/>
                <w:color w:val="auto"/>
              </w:rPr>
              <w:t>3.4</w:t>
            </w:r>
          </w:p>
        </w:tc>
        <w:tc>
          <w:tcPr>
            <w:tcW w:w="9560" w:type="dxa"/>
            <w:vAlign w:val="bottom"/>
          </w:tcPr>
          <w:p>
            <w:pPr>
              <w:ind w:left="80"/>
              <w:spacing w:after="0"/>
              <w:rPr>
                <w:sz w:val="20"/>
                <w:szCs w:val="20"/>
                <w:color w:val="auto"/>
              </w:rPr>
            </w:pPr>
            <w:r>
              <w:rPr>
                <w:rFonts w:ascii="Arial" w:cs="Arial" w:eastAsia="Arial" w:hAnsi="Arial"/>
                <w:sz w:val="18"/>
                <w:szCs w:val="18"/>
                <w:color w:val="auto"/>
              </w:rPr>
              <w:t>Second Amended and Restated By-laws</w:t>
            </w:r>
            <w:r>
              <w:rPr>
                <w:rFonts w:ascii="Arial" w:cs="Arial" w:eastAsia="Arial" w:hAnsi="Arial"/>
                <w:sz w:val="29"/>
                <w:szCs w:val="29"/>
                <w:color w:val="auto"/>
                <w:vertAlign w:val="superscript"/>
              </w:rPr>
              <w:t>(4)</w:t>
            </w:r>
          </w:p>
        </w:tc>
      </w:tr>
      <w:tr>
        <w:trPr>
          <w:trHeight w:val="500"/>
        </w:trPr>
        <w:tc>
          <w:tcPr>
            <w:tcW w:w="1860" w:type="dxa"/>
            <w:vAlign w:val="bottom"/>
          </w:tcPr>
          <w:p>
            <w:pPr>
              <w:jc w:val="right"/>
              <w:spacing w:after="0"/>
              <w:rPr>
                <w:sz w:val="20"/>
                <w:szCs w:val="20"/>
                <w:color w:val="auto"/>
              </w:rPr>
            </w:pPr>
            <w:r>
              <w:rPr>
                <w:rFonts w:ascii="Arial" w:cs="Arial" w:eastAsia="Arial" w:hAnsi="Arial"/>
                <w:sz w:val="18"/>
                <w:szCs w:val="18"/>
                <w:color w:val="auto"/>
              </w:rPr>
              <w:t>4.1</w:t>
            </w:r>
          </w:p>
        </w:tc>
        <w:tc>
          <w:tcPr>
            <w:tcW w:w="9560" w:type="dxa"/>
            <w:vAlign w:val="bottom"/>
          </w:tcPr>
          <w:p>
            <w:pPr>
              <w:ind w:left="80"/>
              <w:spacing w:after="0"/>
              <w:rPr>
                <w:sz w:val="20"/>
                <w:szCs w:val="20"/>
                <w:color w:val="auto"/>
              </w:rPr>
            </w:pPr>
            <w:r>
              <w:rPr>
                <w:rFonts w:ascii="Arial" w:cs="Arial" w:eastAsia="Arial" w:hAnsi="Arial"/>
                <w:sz w:val="18"/>
                <w:szCs w:val="18"/>
                <w:color w:val="auto"/>
              </w:rPr>
              <w:t>Specimen certificate for shares of common stock of the Registrant</w:t>
            </w:r>
            <w:r>
              <w:rPr>
                <w:rFonts w:ascii="Arial" w:cs="Arial" w:eastAsia="Arial" w:hAnsi="Arial"/>
                <w:sz w:val="29"/>
                <w:szCs w:val="29"/>
                <w:color w:val="auto"/>
                <w:vertAlign w:val="superscript"/>
              </w:rPr>
              <w:t>(1)</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4.2</w:t>
            </w:r>
          </w:p>
        </w:tc>
        <w:tc>
          <w:tcPr>
            <w:tcW w:w="9560" w:type="dxa"/>
            <w:vAlign w:val="bottom"/>
          </w:tcPr>
          <w:p>
            <w:pPr>
              <w:ind w:left="80"/>
              <w:spacing w:after="0"/>
              <w:rPr>
                <w:sz w:val="20"/>
                <w:szCs w:val="20"/>
                <w:color w:val="auto"/>
              </w:rPr>
            </w:pPr>
            <w:r>
              <w:rPr>
                <w:rFonts w:ascii="Arial" w:cs="Arial" w:eastAsia="Arial" w:hAnsi="Arial"/>
                <w:sz w:val="18"/>
                <w:szCs w:val="18"/>
                <w:color w:val="auto"/>
              </w:rPr>
              <w:t>Amended and Restated Declaration of Trust of AMG Capital Trust I, dated as of April 3, 2006, by and among</w:t>
            </w:r>
          </w:p>
        </w:tc>
      </w:tr>
      <w:tr>
        <w:trPr>
          <w:trHeight w:val="216"/>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Affiliated Managers Group, Inc., Christiana Bank &amp; Trust Company, as Delaware Trustee, U.S. Bank National</w:t>
            </w:r>
          </w:p>
        </w:tc>
      </w:tr>
      <w:tr>
        <w:trPr>
          <w:trHeight w:val="216"/>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successor in interest to Bank of America, N.A., successor by merger to LaSalle Bank National</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as Property Trustee and Administrative Trustee, and the holders from time to time of undivided beneficial</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interests in the assets of AMG Capital Trust I</w:t>
            </w:r>
            <w:r>
              <w:rPr>
                <w:rFonts w:ascii="Arial" w:cs="Arial" w:eastAsia="Arial" w:hAnsi="Arial"/>
                <w:sz w:val="29"/>
                <w:szCs w:val="29"/>
                <w:color w:val="auto"/>
                <w:vertAlign w:val="superscript"/>
              </w:rPr>
              <w:t>(5)</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4.3</w:t>
            </w:r>
          </w:p>
        </w:tc>
        <w:tc>
          <w:tcPr>
            <w:tcW w:w="9560" w:type="dxa"/>
            <w:vAlign w:val="bottom"/>
          </w:tcPr>
          <w:p>
            <w:pPr>
              <w:ind w:left="80"/>
              <w:spacing w:after="0"/>
              <w:rPr>
                <w:sz w:val="20"/>
                <w:szCs w:val="20"/>
                <w:color w:val="auto"/>
              </w:rPr>
            </w:pPr>
            <w:r>
              <w:rPr>
                <w:rFonts w:ascii="Arial" w:cs="Arial" w:eastAsia="Arial" w:hAnsi="Arial"/>
                <w:sz w:val="18"/>
                <w:szCs w:val="18"/>
                <w:color w:val="auto"/>
              </w:rPr>
              <w:t>Indenture, dated as of April 3, 2006, by and between Affiliated Managers Group, Inc. and U.S. Bank National</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successor in interest to Bank of America, N.A., successor by merger to LaSalle Bank National</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as Debenture Trustee</w:t>
            </w:r>
            <w:r>
              <w:rPr>
                <w:rFonts w:ascii="Arial" w:cs="Arial" w:eastAsia="Arial" w:hAnsi="Arial"/>
                <w:sz w:val="29"/>
                <w:szCs w:val="29"/>
                <w:color w:val="auto"/>
                <w:vertAlign w:val="superscript"/>
              </w:rPr>
              <w:t>(5)</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4.4</w:t>
            </w:r>
          </w:p>
        </w:tc>
        <w:tc>
          <w:tcPr>
            <w:tcW w:w="9560" w:type="dxa"/>
            <w:vAlign w:val="bottom"/>
          </w:tcPr>
          <w:p>
            <w:pPr>
              <w:ind w:left="80"/>
              <w:spacing w:after="0"/>
              <w:rPr>
                <w:sz w:val="20"/>
                <w:szCs w:val="20"/>
                <w:color w:val="auto"/>
              </w:rPr>
            </w:pPr>
            <w:r>
              <w:rPr>
                <w:rFonts w:ascii="Arial" w:cs="Arial" w:eastAsia="Arial" w:hAnsi="Arial"/>
                <w:sz w:val="18"/>
                <w:szCs w:val="18"/>
                <w:color w:val="auto"/>
              </w:rPr>
              <w:t>Guarantee Agreement, dated as of April 3, 2006, by and between Affiliated Managers Group, Inc. and U.S. Bank</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National Association, successor in interest to Bank of America, N.A., successor by merger to LaSalle Bank National</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as Guarantee Trustee</w:t>
            </w:r>
            <w:r>
              <w:rPr>
                <w:rFonts w:ascii="Arial" w:cs="Arial" w:eastAsia="Arial" w:hAnsi="Arial"/>
                <w:sz w:val="29"/>
                <w:szCs w:val="29"/>
                <w:color w:val="auto"/>
                <w:vertAlign w:val="superscript"/>
              </w:rPr>
              <w:t>(5)</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4.5</w:t>
            </w:r>
          </w:p>
        </w:tc>
        <w:tc>
          <w:tcPr>
            <w:tcW w:w="9560" w:type="dxa"/>
            <w:vAlign w:val="bottom"/>
          </w:tcPr>
          <w:p>
            <w:pPr>
              <w:ind w:left="80"/>
              <w:spacing w:after="0"/>
              <w:rPr>
                <w:sz w:val="20"/>
                <w:szCs w:val="20"/>
                <w:color w:val="auto"/>
              </w:rPr>
            </w:pPr>
            <w:r>
              <w:rPr>
                <w:rFonts w:ascii="Arial" w:cs="Arial" w:eastAsia="Arial" w:hAnsi="Arial"/>
                <w:sz w:val="18"/>
                <w:szCs w:val="18"/>
                <w:color w:val="auto"/>
              </w:rPr>
              <w:t>Amended and Restated Declaration of Trust of AMG Capital Trust II, dated as of October 17, 2007, by and among</w:t>
            </w:r>
          </w:p>
        </w:tc>
      </w:tr>
      <w:tr>
        <w:trPr>
          <w:trHeight w:val="216"/>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Affiliated Managers Group, Inc., U.S. Bank National Association, successor in interest to Bank of America National</w:t>
            </w:r>
          </w:p>
        </w:tc>
      </w:tr>
      <w:tr>
        <w:trPr>
          <w:trHeight w:val="216"/>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Trust Delaware, successor by merger to LaSalle National Trust Delaware, as Delaware Trustee, U.S. Bank National</w:t>
            </w:r>
          </w:p>
        </w:tc>
      </w:tr>
      <w:tr>
        <w:trPr>
          <w:trHeight w:val="216"/>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successor in interest to Bank of America, N.A., successor by merger to LaSalle Bank National</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as Property Trustee and Institutional Administrator, and the holders from time to time of undivided</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beneficial interests in the assets of AMG Capital Trust II</w:t>
            </w:r>
            <w:r>
              <w:rPr>
                <w:rFonts w:ascii="Arial" w:cs="Arial" w:eastAsia="Arial" w:hAnsi="Arial"/>
                <w:sz w:val="29"/>
                <w:szCs w:val="29"/>
                <w:color w:val="auto"/>
                <w:vertAlign w:val="superscript"/>
              </w:rPr>
              <w:t>(6)</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4.6</w:t>
            </w:r>
          </w:p>
        </w:tc>
        <w:tc>
          <w:tcPr>
            <w:tcW w:w="9560" w:type="dxa"/>
            <w:vAlign w:val="bottom"/>
          </w:tcPr>
          <w:p>
            <w:pPr>
              <w:ind w:left="80"/>
              <w:spacing w:after="0"/>
              <w:rPr>
                <w:sz w:val="20"/>
                <w:szCs w:val="20"/>
                <w:color w:val="auto"/>
              </w:rPr>
            </w:pPr>
            <w:r>
              <w:rPr>
                <w:rFonts w:ascii="Arial" w:cs="Arial" w:eastAsia="Arial" w:hAnsi="Arial"/>
                <w:sz w:val="18"/>
                <w:szCs w:val="18"/>
                <w:color w:val="auto"/>
              </w:rPr>
              <w:t>Indenture, dated as of October 17, 2007, by and between Affiliated Managers Group, Inc. and U.S. Bank National</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successor in interest to Bank of America, N.A., successor by merger to LaSalle Bank National</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as Debenture Trustee</w:t>
            </w:r>
            <w:r>
              <w:rPr>
                <w:rFonts w:ascii="Arial" w:cs="Arial" w:eastAsia="Arial" w:hAnsi="Arial"/>
                <w:sz w:val="29"/>
                <w:szCs w:val="29"/>
                <w:color w:val="auto"/>
                <w:vertAlign w:val="superscript"/>
              </w:rPr>
              <w:t>(6)</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4.7</w:t>
            </w:r>
          </w:p>
        </w:tc>
        <w:tc>
          <w:tcPr>
            <w:tcW w:w="9560" w:type="dxa"/>
            <w:vAlign w:val="bottom"/>
          </w:tcPr>
          <w:p>
            <w:pPr>
              <w:ind w:left="80"/>
              <w:spacing w:after="0"/>
              <w:rPr>
                <w:sz w:val="20"/>
                <w:szCs w:val="20"/>
                <w:color w:val="auto"/>
              </w:rPr>
            </w:pPr>
            <w:r>
              <w:rPr>
                <w:rFonts w:ascii="Arial" w:cs="Arial" w:eastAsia="Arial" w:hAnsi="Arial"/>
                <w:sz w:val="18"/>
                <w:szCs w:val="18"/>
                <w:color w:val="auto"/>
              </w:rPr>
              <w:t>Guarantee Agreement, dated as of October 17, 2007, by and between Affiliated Managers Group, Inc. and U.S. Bank</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National Association, successor in interest to Bank of America, N.A., successor by merger to LaSalle Bank National</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Association, as Guarantee Trustee</w:t>
            </w:r>
            <w:r>
              <w:rPr>
                <w:rFonts w:ascii="Arial" w:cs="Arial" w:eastAsia="Arial" w:hAnsi="Arial"/>
                <w:sz w:val="29"/>
                <w:szCs w:val="29"/>
                <w:color w:val="auto"/>
                <w:vertAlign w:val="superscript"/>
              </w:rPr>
              <w:t>(6)</w:t>
            </w:r>
          </w:p>
        </w:tc>
      </w:tr>
      <w:tr>
        <w:trPr>
          <w:trHeight w:val="334"/>
        </w:trPr>
        <w:tc>
          <w:tcPr>
            <w:tcW w:w="1860" w:type="dxa"/>
            <w:vAlign w:val="bottom"/>
          </w:tcPr>
          <w:p>
            <w:pPr>
              <w:jc w:val="right"/>
              <w:spacing w:after="0"/>
              <w:rPr>
                <w:sz w:val="20"/>
                <w:szCs w:val="20"/>
                <w:color w:val="auto"/>
              </w:rPr>
            </w:pPr>
            <w:r>
              <w:rPr>
                <w:rFonts w:ascii="Arial" w:cs="Arial" w:eastAsia="Arial" w:hAnsi="Arial"/>
                <w:sz w:val="18"/>
                <w:szCs w:val="18"/>
                <w:color w:val="auto"/>
              </w:rPr>
              <w:t>4.8</w:t>
            </w:r>
          </w:p>
        </w:tc>
        <w:tc>
          <w:tcPr>
            <w:tcW w:w="9560" w:type="dxa"/>
            <w:vAlign w:val="bottom"/>
          </w:tcPr>
          <w:p>
            <w:pPr>
              <w:ind w:left="80"/>
              <w:spacing w:after="0"/>
              <w:rPr>
                <w:sz w:val="20"/>
                <w:szCs w:val="20"/>
                <w:color w:val="auto"/>
              </w:rPr>
            </w:pPr>
            <w:r>
              <w:rPr>
                <w:rFonts w:ascii="Arial" w:cs="Arial" w:eastAsia="Arial" w:hAnsi="Arial"/>
                <w:sz w:val="18"/>
                <w:szCs w:val="18"/>
                <w:color w:val="auto"/>
              </w:rPr>
              <w:t>Indenture related to the 3.95% Convertible Senior Notes due 2038, dated as of August 6, 2008, by and between</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Affiliated Managers Group, Inc. and The Bank of New York Mellon Trust Company, N.A.</w:t>
            </w:r>
            <w:r>
              <w:rPr>
                <w:rFonts w:ascii="Arial" w:cs="Arial" w:eastAsia="Arial" w:hAnsi="Arial"/>
                <w:sz w:val="29"/>
                <w:szCs w:val="29"/>
                <w:color w:val="auto"/>
                <w:vertAlign w:val="superscript"/>
              </w:rPr>
              <w:t>(7)</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10.1</w:t>
            </w:r>
          </w:p>
        </w:tc>
        <w:tc>
          <w:tcPr>
            <w:tcW w:w="9560" w:type="dxa"/>
            <w:vAlign w:val="bottom"/>
          </w:tcPr>
          <w:p>
            <w:pPr>
              <w:ind w:left="80"/>
              <w:spacing w:after="0"/>
              <w:rPr>
                <w:sz w:val="20"/>
                <w:szCs w:val="20"/>
                <w:color w:val="auto"/>
              </w:rPr>
            </w:pPr>
            <w:r>
              <w:rPr>
                <w:rFonts w:ascii="Arial" w:cs="Arial" w:eastAsia="Arial" w:hAnsi="Arial"/>
                <w:sz w:val="18"/>
                <w:szCs w:val="18"/>
                <w:color w:val="auto"/>
              </w:rPr>
              <w:t>Fourth Amended and Restated Credit Agreement, dated as of January 12, 2011, by and among Affiliated Managers</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Group, Inc., Bank of America, N.A., as Administrative Agent, and the several lenders from time to time parties</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thereto</w:t>
            </w:r>
            <w:r>
              <w:rPr>
                <w:rFonts w:ascii="Arial" w:cs="Arial" w:eastAsia="Arial" w:hAnsi="Arial"/>
                <w:sz w:val="29"/>
                <w:szCs w:val="29"/>
                <w:color w:val="auto"/>
                <w:vertAlign w:val="superscript"/>
              </w:rPr>
              <w:t>(8)</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10.2</w:t>
            </w:r>
          </w:p>
        </w:tc>
        <w:tc>
          <w:tcPr>
            <w:tcW w:w="9560" w:type="dxa"/>
            <w:vAlign w:val="bottom"/>
          </w:tcPr>
          <w:p>
            <w:pPr>
              <w:ind w:left="80"/>
              <w:spacing w:after="0"/>
              <w:rPr>
                <w:sz w:val="20"/>
                <w:szCs w:val="20"/>
                <w:color w:val="auto"/>
              </w:rPr>
            </w:pPr>
            <w:r>
              <w:rPr>
                <w:rFonts w:ascii="Arial" w:cs="Arial" w:eastAsia="Arial" w:hAnsi="Arial"/>
                <w:sz w:val="18"/>
                <w:szCs w:val="18"/>
                <w:color w:val="auto"/>
              </w:rPr>
              <w:t>First Amendment to the Fourth Amended and Restated Credit Agreement, dated as of July 5, 2011, by and among</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Affiliated Managers Group, Inc., Bank of America, N.A., as Administrative Agent, and the several lenders from time</w:t>
            </w:r>
          </w:p>
        </w:tc>
      </w:tr>
      <w:tr>
        <w:trPr>
          <w:trHeight w:val="382"/>
        </w:trPr>
        <w:tc>
          <w:tcPr>
            <w:tcW w:w="18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to time parties thereto</w:t>
            </w:r>
            <w:r>
              <w:rPr>
                <w:rFonts w:ascii="Arial" w:cs="Arial" w:eastAsia="Arial" w:hAnsi="Arial"/>
                <w:sz w:val="29"/>
                <w:szCs w:val="29"/>
                <w:color w:val="auto"/>
                <w:vertAlign w:val="superscript"/>
              </w:rPr>
              <w:t>(9)</w:t>
            </w:r>
          </w:p>
        </w:tc>
      </w:tr>
      <w:tr>
        <w:trPr>
          <w:trHeight w:val="333"/>
        </w:trPr>
        <w:tc>
          <w:tcPr>
            <w:tcW w:w="1860" w:type="dxa"/>
            <w:vAlign w:val="bottom"/>
          </w:tcPr>
          <w:p>
            <w:pPr>
              <w:jc w:val="right"/>
              <w:spacing w:after="0"/>
              <w:rPr>
                <w:sz w:val="20"/>
                <w:szCs w:val="20"/>
                <w:color w:val="auto"/>
              </w:rPr>
            </w:pPr>
            <w:r>
              <w:rPr>
                <w:rFonts w:ascii="Arial" w:cs="Arial" w:eastAsia="Arial" w:hAnsi="Arial"/>
                <w:sz w:val="18"/>
                <w:szCs w:val="18"/>
                <w:color w:val="auto"/>
              </w:rPr>
              <w:t>10.3</w:t>
            </w:r>
          </w:p>
        </w:tc>
        <w:tc>
          <w:tcPr>
            <w:tcW w:w="9560" w:type="dxa"/>
            <w:vAlign w:val="bottom"/>
          </w:tcPr>
          <w:p>
            <w:pPr>
              <w:ind w:left="80"/>
              <w:spacing w:after="0"/>
              <w:rPr>
                <w:sz w:val="20"/>
                <w:szCs w:val="20"/>
                <w:color w:val="auto"/>
              </w:rPr>
            </w:pPr>
            <w:r>
              <w:rPr>
                <w:rFonts w:ascii="Arial" w:cs="Arial" w:eastAsia="Arial" w:hAnsi="Arial"/>
                <w:sz w:val="18"/>
                <w:szCs w:val="18"/>
                <w:color w:val="auto"/>
              </w:rPr>
              <w:t>Fifth Amended and Restated Credit Agreement, dated as of November 3, 2011, by and among Affiliated Managers</w:t>
            </w:r>
          </w:p>
        </w:tc>
      </w:tr>
      <w:tr>
        <w:trPr>
          <w:trHeight w:val="217"/>
        </w:trPr>
        <w:tc>
          <w:tcPr>
            <w:tcW w:w="1860" w:type="dxa"/>
            <w:vAlign w:val="bottom"/>
          </w:tcPr>
          <w:p>
            <w:pPr>
              <w:spacing w:after="0"/>
              <w:rPr>
                <w:sz w:val="18"/>
                <w:szCs w:val="18"/>
                <w:color w:val="auto"/>
              </w:rPr>
            </w:pPr>
          </w:p>
        </w:tc>
        <w:tc>
          <w:tcPr>
            <w:tcW w:w="9560" w:type="dxa"/>
            <w:vAlign w:val="bottom"/>
          </w:tcPr>
          <w:p>
            <w:pPr>
              <w:ind w:left="80"/>
              <w:spacing w:after="0"/>
              <w:rPr>
                <w:sz w:val="20"/>
                <w:szCs w:val="20"/>
                <w:color w:val="auto"/>
              </w:rPr>
            </w:pPr>
            <w:r>
              <w:rPr>
                <w:rFonts w:ascii="Arial" w:cs="Arial" w:eastAsia="Arial" w:hAnsi="Arial"/>
                <w:sz w:val="18"/>
                <w:szCs w:val="18"/>
                <w:color w:val="auto"/>
              </w:rPr>
              <w:t>Group, Inc., Bank of America, N.A., as Administrative Agent, and the several lenders from time to time parties</w:t>
            </w:r>
          </w:p>
        </w:tc>
      </w:tr>
      <w:tr>
        <w:trPr>
          <w:trHeight w:val="382"/>
        </w:trPr>
        <w:tc>
          <w:tcPr>
            <w:tcW w:w="186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tcPr>
          <w:p>
            <w:pPr>
              <w:ind w:left="80"/>
              <w:spacing w:after="0"/>
              <w:rPr>
                <w:sz w:val="20"/>
                <w:szCs w:val="20"/>
                <w:color w:val="auto"/>
              </w:rPr>
            </w:pPr>
            <w:r>
              <w:rPr>
                <w:rFonts w:ascii="Arial" w:cs="Arial" w:eastAsia="Arial" w:hAnsi="Arial"/>
                <w:sz w:val="18"/>
                <w:szCs w:val="18"/>
                <w:color w:val="auto"/>
              </w:rPr>
              <w:t>thereto</w:t>
            </w:r>
            <w:r>
              <w:rPr>
                <w:rFonts w:ascii="Arial" w:cs="Arial" w:eastAsia="Arial" w:hAnsi="Arial"/>
                <w:sz w:val="29"/>
                <w:szCs w:val="29"/>
                <w:color w:val="auto"/>
                <w:vertAlign w:val="superscript"/>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40" w:right="1580" w:hanging="468"/>
        <w:spacing w:after="0" w:line="333" w:lineRule="auto"/>
        <w:tabs>
          <w:tab w:leader="none" w:pos="1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Term Credit Agreement, dated as of November 3, 2011, by and among Affiliated Managers Group, Inc., Bank of America, N.A., as Administrative Agent, and the several lenders from time to time parties thereto</w:t>
      </w:r>
      <w:r>
        <w:rPr>
          <w:rFonts w:ascii="Arial" w:cs="Arial" w:eastAsia="Arial" w:hAnsi="Arial"/>
          <w:sz w:val="26"/>
          <w:szCs w:val="26"/>
          <w:color w:val="auto"/>
          <w:vertAlign w:val="superscript"/>
        </w:rPr>
        <w:t>(10)</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35"/>
          <w:szCs w:val="35"/>
          <w:color w:val="auto"/>
          <w:vertAlign w:val="superscript"/>
        </w:rPr>
        <w:t>10.5†</w:t>
      </w:r>
      <w:r>
        <w:rPr>
          <w:rFonts w:ascii="Arial" w:cs="Arial" w:eastAsia="Arial" w:hAnsi="Arial"/>
          <w:sz w:val="18"/>
          <w:szCs w:val="18"/>
          <w:color w:val="auto"/>
        </w:rPr>
        <w:t xml:space="preserve"> Affiliated Managers Group, Inc. Defined Contribution Plan</w:t>
      </w:r>
      <w:r>
        <w:rPr>
          <w:rFonts w:ascii="Arial" w:cs="Arial" w:eastAsia="Arial" w:hAnsi="Arial"/>
          <w:sz w:val="29"/>
          <w:szCs w:val="29"/>
          <w:color w:val="auto"/>
          <w:vertAlign w:val="superscript"/>
        </w:rPr>
        <w:t>(11)</w:t>
      </w:r>
    </w:p>
    <w:p>
      <w:pPr>
        <w:spacing w:after="0" w:line="97" w:lineRule="exact"/>
        <w:rPr>
          <w:sz w:val="20"/>
          <w:szCs w:val="20"/>
          <w:color w:val="auto"/>
        </w:rPr>
      </w:pPr>
    </w:p>
    <w:p>
      <w:pPr>
        <w:ind w:left="1460"/>
        <w:spacing w:after="0"/>
        <w:rPr>
          <w:sz w:val="20"/>
          <w:szCs w:val="20"/>
          <w:color w:val="auto"/>
        </w:rPr>
      </w:pPr>
      <w:r>
        <w:rPr>
          <w:rFonts w:ascii="Arial" w:cs="Arial" w:eastAsia="Arial" w:hAnsi="Arial"/>
          <w:sz w:val="35"/>
          <w:szCs w:val="35"/>
          <w:color w:val="auto"/>
          <w:vertAlign w:val="superscript"/>
        </w:rPr>
        <w:t>10.6†</w:t>
      </w:r>
      <w:r>
        <w:rPr>
          <w:rFonts w:ascii="Arial" w:cs="Arial" w:eastAsia="Arial" w:hAnsi="Arial"/>
          <w:sz w:val="18"/>
          <w:szCs w:val="18"/>
          <w:color w:val="auto"/>
        </w:rPr>
        <w:t xml:space="preserve"> Affiliated Managers Group, Inc. Executive Incentive Plan (f/k/a Long-Term Executive Incentive Plan)</w:t>
      </w:r>
      <w:r>
        <w:rPr>
          <w:rFonts w:ascii="Arial" w:cs="Arial" w:eastAsia="Arial" w:hAnsi="Arial"/>
          <w:sz w:val="29"/>
          <w:szCs w:val="29"/>
          <w:color w:val="auto"/>
          <w:vertAlign w:val="superscript"/>
        </w:rPr>
        <w:t>(12)</w:t>
      </w:r>
    </w:p>
    <w:p>
      <w:pPr>
        <w:spacing w:after="0" w:line="97" w:lineRule="exact"/>
        <w:rPr>
          <w:sz w:val="20"/>
          <w:szCs w:val="20"/>
          <w:color w:val="auto"/>
        </w:rPr>
      </w:pPr>
    </w:p>
    <w:p>
      <w:pPr>
        <w:ind w:left="1460"/>
        <w:spacing w:after="0"/>
        <w:rPr>
          <w:sz w:val="20"/>
          <w:szCs w:val="20"/>
          <w:color w:val="auto"/>
        </w:rPr>
      </w:pPr>
      <w:r>
        <w:rPr>
          <w:rFonts w:ascii="Arial" w:cs="Arial" w:eastAsia="Arial" w:hAnsi="Arial"/>
          <w:sz w:val="35"/>
          <w:szCs w:val="35"/>
          <w:color w:val="auto"/>
          <w:vertAlign w:val="superscript"/>
        </w:rPr>
        <w:t>10.7†</w:t>
      </w:r>
      <w:r>
        <w:rPr>
          <w:rFonts w:ascii="Arial" w:cs="Arial" w:eastAsia="Arial" w:hAnsi="Arial"/>
          <w:sz w:val="18"/>
          <w:szCs w:val="18"/>
          <w:color w:val="auto"/>
        </w:rPr>
        <w:t xml:space="preserve"> Affiliated Managers Group, Inc. Amended and Restated 1997 Stock Option and Incentive Plan</w:t>
      </w:r>
      <w:r>
        <w:rPr>
          <w:rFonts w:ascii="Arial" w:cs="Arial" w:eastAsia="Arial" w:hAnsi="Arial"/>
          <w:sz w:val="29"/>
          <w:szCs w:val="29"/>
          <w:color w:val="auto"/>
          <w:vertAlign w:val="superscript"/>
        </w:rPr>
        <w:t>(13)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410"/>
        </w:trPr>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Amended and Restated 2002 Stock Option and Incentive Plan</w:t>
            </w:r>
            <w:r>
              <w:rPr>
                <w:rFonts w:ascii="Arial" w:cs="Arial" w:eastAsia="Arial" w:hAnsi="Arial"/>
                <w:sz w:val="29"/>
                <w:szCs w:val="29"/>
                <w:color w:val="auto"/>
                <w:vertAlign w:val="superscript"/>
              </w:rPr>
              <w:t>(13)</w:t>
            </w:r>
          </w:p>
        </w:tc>
      </w:tr>
      <w:tr>
        <w:trPr>
          <w:trHeight w:val="500"/>
        </w:trPr>
        <w:tc>
          <w:tcPr>
            <w:tcW w:w="1900" w:type="dxa"/>
            <w:vAlign w:val="bottom"/>
          </w:tcPr>
          <w:p>
            <w:pPr>
              <w:jc w:val="right"/>
              <w:spacing w:after="0"/>
              <w:rPr>
                <w:sz w:val="20"/>
                <w:szCs w:val="20"/>
                <w:color w:val="auto"/>
              </w:rPr>
            </w:pPr>
            <w:r>
              <w:rPr>
                <w:rFonts w:ascii="Arial" w:cs="Arial" w:eastAsia="Arial" w:hAnsi="Arial"/>
                <w:sz w:val="18"/>
                <w:szCs w:val="18"/>
                <w:color w:val="auto"/>
              </w:rPr>
              <w:t>10.9†</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2006 Stock Option and Incentive Plan</w:t>
            </w:r>
            <w:r>
              <w:rPr>
                <w:rFonts w:ascii="Arial" w:cs="Arial" w:eastAsia="Arial" w:hAnsi="Arial"/>
                <w:sz w:val="29"/>
                <w:szCs w:val="29"/>
                <w:color w:val="auto"/>
                <w:vertAlign w:val="superscript"/>
              </w:rPr>
              <w:t>(3)</w:t>
            </w:r>
          </w:p>
        </w:tc>
      </w:tr>
      <w:tr>
        <w:trPr>
          <w:trHeight w:val="500"/>
        </w:trPr>
        <w:tc>
          <w:tcPr>
            <w:tcW w:w="1900" w:type="dxa"/>
            <w:vAlign w:val="bottom"/>
          </w:tcPr>
          <w:p>
            <w:pPr>
              <w:jc w:val="right"/>
              <w:spacing w:after="0"/>
              <w:rPr>
                <w:sz w:val="20"/>
                <w:szCs w:val="20"/>
                <w:color w:val="auto"/>
              </w:rPr>
            </w:pPr>
            <w:r>
              <w:rPr>
                <w:rFonts w:ascii="Arial" w:cs="Arial" w:eastAsia="Arial" w:hAnsi="Arial"/>
                <w:sz w:val="18"/>
                <w:szCs w:val="18"/>
                <w:color w:val="auto"/>
              </w:rPr>
              <w:t>10.10†</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Long-Term Stock and Investment Plan</w:t>
            </w:r>
            <w:r>
              <w:rPr>
                <w:rFonts w:ascii="Arial" w:cs="Arial" w:eastAsia="Arial" w:hAnsi="Arial"/>
                <w:sz w:val="29"/>
                <w:szCs w:val="29"/>
                <w:color w:val="auto"/>
                <w:vertAlign w:val="superscript"/>
              </w:rPr>
              <w:t>(2)</w:t>
            </w:r>
          </w:p>
        </w:tc>
      </w:tr>
      <w:tr>
        <w:trPr>
          <w:trHeight w:val="500"/>
        </w:trPr>
        <w:tc>
          <w:tcPr>
            <w:tcW w:w="1900" w:type="dxa"/>
            <w:vAlign w:val="bottom"/>
          </w:tcPr>
          <w:p>
            <w:pPr>
              <w:jc w:val="right"/>
              <w:spacing w:after="0"/>
              <w:rPr>
                <w:sz w:val="20"/>
                <w:szCs w:val="20"/>
                <w:color w:val="auto"/>
              </w:rPr>
            </w:pPr>
            <w:r>
              <w:rPr>
                <w:rFonts w:ascii="Arial" w:cs="Arial" w:eastAsia="Arial" w:hAnsi="Arial"/>
                <w:sz w:val="18"/>
                <w:szCs w:val="18"/>
                <w:color w:val="auto"/>
              </w:rPr>
              <w:t>10.11†</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Executive Retention Plan</w:t>
            </w:r>
            <w:r>
              <w:rPr>
                <w:rFonts w:ascii="Arial" w:cs="Arial" w:eastAsia="Arial" w:hAnsi="Arial"/>
                <w:sz w:val="29"/>
                <w:szCs w:val="29"/>
                <w:color w:val="auto"/>
                <w:vertAlign w:val="superscript"/>
              </w:rPr>
              <w:t>(14)</w:t>
            </w:r>
          </w:p>
        </w:tc>
      </w:tr>
      <w:tr>
        <w:trPr>
          <w:trHeight w:val="500"/>
        </w:trPr>
        <w:tc>
          <w:tcPr>
            <w:tcW w:w="1900" w:type="dxa"/>
            <w:vAlign w:val="bottom"/>
          </w:tcPr>
          <w:p>
            <w:pPr>
              <w:jc w:val="right"/>
              <w:spacing w:after="0"/>
              <w:rPr>
                <w:sz w:val="20"/>
                <w:szCs w:val="20"/>
                <w:color w:val="auto"/>
              </w:rPr>
            </w:pPr>
            <w:r>
              <w:rPr>
                <w:rFonts w:ascii="Arial" w:cs="Arial" w:eastAsia="Arial" w:hAnsi="Arial"/>
                <w:sz w:val="18"/>
                <w:szCs w:val="18"/>
                <w:color w:val="auto"/>
              </w:rPr>
              <w:t>10.12†</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Deferred Compensation Plan</w:t>
            </w:r>
            <w:r>
              <w:rPr>
                <w:rFonts w:ascii="Arial" w:cs="Arial" w:eastAsia="Arial" w:hAnsi="Arial"/>
                <w:sz w:val="29"/>
                <w:szCs w:val="29"/>
                <w:color w:val="auto"/>
                <w:vertAlign w:val="superscript"/>
              </w:rPr>
              <w:t>(15)</w:t>
            </w:r>
          </w:p>
        </w:tc>
      </w:tr>
      <w:tr>
        <w:trPr>
          <w:trHeight w:val="500"/>
        </w:trPr>
        <w:tc>
          <w:tcPr>
            <w:tcW w:w="1900" w:type="dxa"/>
            <w:vAlign w:val="bottom"/>
          </w:tcPr>
          <w:p>
            <w:pPr>
              <w:jc w:val="right"/>
              <w:spacing w:after="0"/>
              <w:rPr>
                <w:sz w:val="20"/>
                <w:szCs w:val="20"/>
                <w:color w:val="auto"/>
              </w:rPr>
            </w:pPr>
            <w:r>
              <w:rPr>
                <w:rFonts w:ascii="Arial" w:cs="Arial" w:eastAsia="Arial" w:hAnsi="Arial"/>
                <w:sz w:val="18"/>
                <w:szCs w:val="18"/>
                <w:color w:val="auto"/>
              </w:rPr>
              <w:t>10.13†</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Long-Term Equity Interests Plan 2010, LP</w:t>
            </w:r>
            <w:r>
              <w:rPr>
                <w:rFonts w:ascii="Arial" w:cs="Arial" w:eastAsia="Arial" w:hAnsi="Arial"/>
                <w:sz w:val="29"/>
                <w:szCs w:val="29"/>
                <w:color w:val="auto"/>
                <w:vertAlign w:val="superscript"/>
              </w:rPr>
              <w:t>(16)</w:t>
            </w:r>
          </w:p>
        </w:tc>
      </w:tr>
      <w:tr>
        <w:trPr>
          <w:trHeight w:val="500"/>
        </w:trPr>
        <w:tc>
          <w:tcPr>
            <w:tcW w:w="1900" w:type="dxa"/>
            <w:vAlign w:val="bottom"/>
          </w:tcPr>
          <w:p>
            <w:pPr>
              <w:jc w:val="right"/>
              <w:spacing w:after="0"/>
              <w:rPr>
                <w:sz w:val="20"/>
                <w:szCs w:val="20"/>
                <w:color w:val="auto"/>
              </w:rPr>
            </w:pPr>
            <w:r>
              <w:rPr>
                <w:rFonts w:ascii="Arial" w:cs="Arial" w:eastAsia="Arial" w:hAnsi="Arial"/>
                <w:sz w:val="18"/>
                <w:szCs w:val="18"/>
                <w:color w:val="auto"/>
              </w:rPr>
              <w:t>10.14†</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2011 Stock Option and Incentive Plan</w:t>
            </w:r>
            <w:r>
              <w:rPr>
                <w:rFonts w:ascii="Arial" w:cs="Arial" w:eastAsia="Arial" w:hAnsi="Arial"/>
                <w:sz w:val="29"/>
                <w:szCs w:val="29"/>
                <w:color w:val="auto"/>
                <w:vertAlign w:val="superscript"/>
              </w:rPr>
              <w:t>(17)</w:t>
            </w:r>
          </w:p>
        </w:tc>
      </w:tr>
      <w:tr>
        <w:trPr>
          <w:trHeight w:val="339"/>
        </w:trPr>
        <w:tc>
          <w:tcPr>
            <w:tcW w:w="1900" w:type="dxa"/>
            <w:vAlign w:val="bottom"/>
          </w:tcPr>
          <w:p>
            <w:pPr>
              <w:jc w:val="right"/>
              <w:spacing w:after="0"/>
              <w:rPr>
                <w:sz w:val="20"/>
                <w:szCs w:val="20"/>
                <w:color w:val="auto"/>
              </w:rPr>
            </w:pPr>
            <w:r>
              <w:rPr>
                <w:rFonts w:ascii="Arial" w:cs="Arial" w:eastAsia="Arial" w:hAnsi="Arial"/>
                <w:sz w:val="18"/>
                <w:szCs w:val="18"/>
                <w:color w:val="auto"/>
              </w:rPr>
              <w:t>10.15†</w:t>
            </w:r>
          </w:p>
        </w:tc>
        <w:tc>
          <w:tcPr>
            <w:tcW w:w="9520" w:type="dxa"/>
            <w:vAlign w:val="bottom"/>
          </w:tcPr>
          <w:p>
            <w:pPr>
              <w:ind w:left="40"/>
              <w:spacing w:after="0"/>
              <w:rPr>
                <w:sz w:val="20"/>
                <w:szCs w:val="20"/>
                <w:color w:val="auto"/>
              </w:rPr>
            </w:pPr>
            <w:r>
              <w:rPr>
                <w:rFonts w:ascii="Arial" w:cs="Arial" w:eastAsia="Arial" w:hAnsi="Arial"/>
                <w:sz w:val="18"/>
                <w:szCs w:val="18"/>
                <w:color w:val="auto"/>
              </w:rPr>
              <w:t>Affiliated Managers Group, Inc. Long-Term Equity Interests Plan 2011, LP*</w:t>
            </w:r>
          </w:p>
        </w:tc>
      </w:tr>
      <w:tr>
        <w:trPr>
          <w:trHeight w:val="454"/>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9520" w:type="dxa"/>
            <w:vAlign w:val="bottom"/>
          </w:tcPr>
          <w:p>
            <w:pPr>
              <w:ind w:left="40"/>
              <w:spacing w:after="0"/>
              <w:rPr>
                <w:sz w:val="20"/>
                <w:szCs w:val="20"/>
                <w:color w:val="auto"/>
              </w:rPr>
            </w:pPr>
            <w:r>
              <w:rPr>
                <w:rFonts w:ascii="Arial" w:cs="Arial" w:eastAsia="Arial" w:hAnsi="Arial"/>
                <w:sz w:val="18"/>
                <w:szCs w:val="18"/>
                <w:color w:val="auto"/>
              </w:rPr>
              <w:t>Distribution Agency Agreement, dated as of July 26, 2011, by and among Affiliated Managers Group, Inc., Merrill</w:t>
            </w:r>
          </w:p>
        </w:tc>
      </w:tr>
      <w:tr>
        <w:trPr>
          <w:trHeight w:val="382"/>
        </w:trPr>
        <w:tc>
          <w:tcPr>
            <w:tcW w:w="1900" w:type="dxa"/>
            <w:vAlign w:val="bottom"/>
          </w:tcPr>
          <w:p>
            <w:pPr>
              <w:spacing w:after="0"/>
              <w:rPr>
                <w:sz w:val="24"/>
                <w:szCs w:val="24"/>
                <w:color w:val="auto"/>
              </w:rPr>
            </w:pPr>
          </w:p>
        </w:tc>
        <w:tc>
          <w:tcPr>
            <w:tcW w:w="9520" w:type="dxa"/>
            <w:vAlign w:val="bottom"/>
          </w:tcPr>
          <w:p>
            <w:pPr>
              <w:ind w:left="40"/>
              <w:spacing w:after="0"/>
              <w:rPr>
                <w:sz w:val="20"/>
                <w:szCs w:val="20"/>
                <w:color w:val="auto"/>
              </w:rPr>
            </w:pPr>
            <w:r>
              <w:rPr>
                <w:rFonts w:ascii="Arial" w:cs="Arial" w:eastAsia="Arial" w:hAnsi="Arial"/>
                <w:sz w:val="18"/>
                <w:szCs w:val="18"/>
                <w:color w:val="auto"/>
              </w:rPr>
              <w:t xml:space="preserve">Lynch, Pierce, Fenner &amp; Smith Incorporated, and Bank of America, N.A. </w:t>
            </w:r>
            <w:r>
              <w:rPr>
                <w:rFonts w:ascii="Arial" w:cs="Arial" w:eastAsia="Arial" w:hAnsi="Arial"/>
                <w:sz w:val="29"/>
                <w:szCs w:val="29"/>
                <w:color w:val="auto"/>
                <w:vertAlign w:val="superscript"/>
              </w:rPr>
              <w:t>(18)</w:t>
            </w:r>
          </w:p>
        </w:tc>
      </w:tr>
      <w:tr>
        <w:trPr>
          <w:trHeight w:val="334"/>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10.17</w:t>
            </w:r>
          </w:p>
        </w:tc>
        <w:tc>
          <w:tcPr>
            <w:tcW w:w="9520" w:type="dxa"/>
            <w:vAlign w:val="bottom"/>
          </w:tcPr>
          <w:p>
            <w:pPr>
              <w:ind w:left="40"/>
              <w:spacing w:after="0"/>
              <w:rPr>
                <w:sz w:val="20"/>
                <w:szCs w:val="20"/>
                <w:color w:val="auto"/>
              </w:rPr>
            </w:pPr>
            <w:r>
              <w:rPr>
                <w:rFonts w:ascii="Arial" w:cs="Arial" w:eastAsia="Arial" w:hAnsi="Arial"/>
                <w:sz w:val="18"/>
                <w:szCs w:val="18"/>
                <w:color w:val="auto"/>
              </w:rPr>
              <w:t>Form of Confirmation Letter Agreement, dated as of July 26, 2011, by and between Affiliated Managers Group, Inc.</w:t>
            </w:r>
          </w:p>
        </w:tc>
      </w:tr>
      <w:tr>
        <w:trPr>
          <w:trHeight w:val="382"/>
        </w:trPr>
        <w:tc>
          <w:tcPr>
            <w:tcW w:w="1900" w:type="dxa"/>
            <w:vAlign w:val="bottom"/>
          </w:tcPr>
          <w:p>
            <w:pPr>
              <w:spacing w:after="0"/>
              <w:rPr>
                <w:sz w:val="24"/>
                <w:szCs w:val="24"/>
                <w:color w:val="auto"/>
              </w:rPr>
            </w:pPr>
          </w:p>
        </w:tc>
        <w:tc>
          <w:tcPr>
            <w:tcW w:w="9520" w:type="dxa"/>
            <w:vAlign w:val="bottom"/>
          </w:tcPr>
          <w:p>
            <w:pPr>
              <w:ind w:left="40"/>
              <w:spacing w:after="0"/>
              <w:rPr>
                <w:sz w:val="20"/>
                <w:szCs w:val="20"/>
                <w:color w:val="auto"/>
              </w:rPr>
            </w:pPr>
            <w:r>
              <w:rPr>
                <w:rFonts w:ascii="Arial" w:cs="Arial" w:eastAsia="Arial" w:hAnsi="Arial"/>
                <w:sz w:val="18"/>
                <w:szCs w:val="18"/>
                <w:color w:val="auto"/>
              </w:rPr>
              <w:t>and Bank of America, N.A.</w:t>
            </w:r>
            <w:r>
              <w:rPr>
                <w:rFonts w:ascii="Arial" w:cs="Arial" w:eastAsia="Arial" w:hAnsi="Arial"/>
                <w:sz w:val="29"/>
                <w:szCs w:val="29"/>
                <w:color w:val="auto"/>
                <w:vertAlign w:val="superscript"/>
              </w:rPr>
              <w:t>(18)</w:t>
            </w:r>
          </w:p>
        </w:tc>
      </w:tr>
      <w:tr>
        <w:trPr>
          <w:trHeight w:val="334"/>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9520" w:type="dxa"/>
            <w:vAlign w:val="bottom"/>
          </w:tcPr>
          <w:p>
            <w:pPr>
              <w:ind w:left="40"/>
              <w:spacing w:after="0"/>
              <w:rPr>
                <w:sz w:val="20"/>
                <w:szCs w:val="20"/>
                <w:color w:val="auto"/>
              </w:rPr>
            </w:pPr>
            <w:r>
              <w:rPr>
                <w:rFonts w:ascii="Arial" w:cs="Arial" w:eastAsia="Arial" w:hAnsi="Arial"/>
                <w:sz w:val="18"/>
                <w:szCs w:val="18"/>
                <w:color w:val="auto"/>
              </w:rPr>
              <w:t>Distribution Agency Agreement, dated as of July 26, 2011, by and among Affiliated Managers Group, Inc., Deutsche</w:t>
            </w:r>
          </w:p>
        </w:tc>
      </w:tr>
      <w:tr>
        <w:trPr>
          <w:trHeight w:val="382"/>
        </w:trPr>
        <w:tc>
          <w:tcPr>
            <w:tcW w:w="1900" w:type="dxa"/>
            <w:vAlign w:val="bottom"/>
          </w:tcPr>
          <w:p>
            <w:pPr>
              <w:spacing w:after="0"/>
              <w:rPr>
                <w:sz w:val="24"/>
                <w:szCs w:val="24"/>
                <w:color w:val="auto"/>
              </w:rPr>
            </w:pPr>
          </w:p>
        </w:tc>
        <w:tc>
          <w:tcPr>
            <w:tcW w:w="9520" w:type="dxa"/>
            <w:vAlign w:val="bottom"/>
          </w:tcPr>
          <w:p>
            <w:pPr>
              <w:ind w:left="40"/>
              <w:spacing w:after="0"/>
              <w:rPr>
                <w:sz w:val="20"/>
                <w:szCs w:val="20"/>
                <w:color w:val="auto"/>
              </w:rPr>
            </w:pPr>
            <w:r>
              <w:rPr>
                <w:rFonts w:ascii="Arial" w:cs="Arial" w:eastAsia="Arial" w:hAnsi="Arial"/>
                <w:sz w:val="18"/>
                <w:szCs w:val="18"/>
                <w:color w:val="auto"/>
              </w:rPr>
              <w:t>Bank Securities Inc., and Deutsche Bank AG, London Branch</w:t>
            </w:r>
            <w:r>
              <w:rPr>
                <w:rFonts w:ascii="Arial" w:cs="Arial" w:eastAsia="Arial" w:hAnsi="Arial"/>
                <w:sz w:val="29"/>
                <w:szCs w:val="29"/>
                <w:color w:val="auto"/>
                <w:vertAlign w:val="superscript"/>
              </w:rPr>
              <w:t>(18)</w:t>
            </w:r>
          </w:p>
        </w:tc>
      </w:tr>
      <w:tr>
        <w:trPr>
          <w:trHeight w:val="334"/>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10.19</w:t>
            </w:r>
          </w:p>
        </w:tc>
        <w:tc>
          <w:tcPr>
            <w:tcW w:w="9520" w:type="dxa"/>
            <w:vAlign w:val="bottom"/>
          </w:tcPr>
          <w:p>
            <w:pPr>
              <w:ind w:left="40"/>
              <w:spacing w:after="0"/>
              <w:rPr>
                <w:sz w:val="20"/>
                <w:szCs w:val="20"/>
                <w:color w:val="auto"/>
              </w:rPr>
            </w:pPr>
            <w:r>
              <w:rPr>
                <w:rFonts w:ascii="Arial" w:cs="Arial" w:eastAsia="Arial" w:hAnsi="Arial"/>
                <w:sz w:val="18"/>
                <w:szCs w:val="18"/>
                <w:color w:val="auto"/>
              </w:rPr>
              <w:t>Form of Confirmation Letter Agreement, dated as of July 26, 2011, by and among Affiliated Managers Group, Inc.,</w:t>
            </w:r>
          </w:p>
        </w:tc>
      </w:tr>
      <w:tr>
        <w:trPr>
          <w:trHeight w:val="382"/>
        </w:trPr>
        <w:tc>
          <w:tcPr>
            <w:tcW w:w="1900" w:type="dxa"/>
            <w:vAlign w:val="bottom"/>
          </w:tcPr>
          <w:p>
            <w:pPr>
              <w:spacing w:after="0"/>
              <w:rPr>
                <w:sz w:val="24"/>
                <w:szCs w:val="24"/>
                <w:color w:val="auto"/>
              </w:rPr>
            </w:pPr>
          </w:p>
        </w:tc>
        <w:tc>
          <w:tcPr>
            <w:tcW w:w="9520" w:type="dxa"/>
            <w:vAlign w:val="bottom"/>
          </w:tcPr>
          <w:p>
            <w:pPr>
              <w:ind w:left="40"/>
              <w:spacing w:after="0"/>
              <w:rPr>
                <w:sz w:val="20"/>
                <w:szCs w:val="20"/>
                <w:color w:val="auto"/>
              </w:rPr>
            </w:pPr>
            <w:r>
              <w:rPr>
                <w:rFonts w:ascii="Arial" w:cs="Arial" w:eastAsia="Arial" w:hAnsi="Arial"/>
                <w:sz w:val="18"/>
                <w:szCs w:val="18"/>
                <w:color w:val="auto"/>
              </w:rPr>
              <w:t>Deutsche Bank Securities Inc., and Deutsche Bank AG, London Branch</w:t>
            </w:r>
            <w:r>
              <w:rPr>
                <w:rFonts w:ascii="Arial" w:cs="Arial" w:eastAsia="Arial" w:hAnsi="Arial"/>
                <w:sz w:val="29"/>
                <w:szCs w:val="29"/>
                <w:color w:val="auto"/>
                <w:vertAlign w:val="superscript"/>
              </w:rPr>
              <w:t>(18)</w:t>
            </w:r>
          </w:p>
        </w:tc>
      </w:tr>
      <w:tr>
        <w:trPr>
          <w:trHeight w:val="500"/>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10.20</w:t>
            </w:r>
          </w:p>
        </w:tc>
        <w:tc>
          <w:tcPr>
            <w:tcW w:w="9520" w:type="dxa"/>
            <w:vAlign w:val="bottom"/>
          </w:tcPr>
          <w:p>
            <w:pPr>
              <w:ind w:left="40"/>
              <w:spacing w:after="0"/>
              <w:rPr>
                <w:sz w:val="20"/>
                <w:szCs w:val="20"/>
                <w:color w:val="auto"/>
              </w:rPr>
            </w:pPr>
            <w:r>
              <w:rPr>
                <w:rFonts w:ascii="Arial" w:cs="Arial" w:eastAsia="Arial" w:hAnsi="Arial"/>
                <w:sz w:val="18"/>
                <w:szCs w:val="18"/>
                <w:color w:val="auto"/>
              </w:rPr>
              <w:t>Form of 2011 Indemnification Agreement entered into by each Director and Executive Officer</w:t>
            </w:r>
            <w:r>
              <w:rPr>
                <w:rFonts w:ascii="Arial" w:cs="Arial" w:eastAsia="Arial" w:hAnsi="Arial"/>
                <w:sz w:val="29"/>
                <w:szCs w:val="29"/>
                <w:color w:val="auto"/>
                <w:vertAlign w:val="superscript"/>
              </w:rPr>
              <w:t>(19)</w:t>
            </w:r>
          </w:p>
        </w:tc>
      </w:tr>
      <w:tr>
        <w:trPr>
          <w:trHeight w:val="334"/>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9520" w:type="dxa"/>
            <w:vAlign w:val="bottom"/>
          </w:tcPr>
          <w:p>
            <w:pPr>
              <w:ind w:left="40"/>
              <w:spacing w:after="0"/>
              <w:rPr>
                <w:sz w:val="20"/>
                <w:szCs w:val="20"/>
                <w:color w:val="auto"/>
              </w:rPr>
            </w:pPr>
            <w:r>
              <w:rPr>
                <w:rFonts w:ascii="Arial" w:cs="Arial" w:eastAsia="Arial" w:hAnsi="Arial"/>
                <w:sz w:val="18"/>
                <w:szCs w:val="18"/>
                <w:color w:val="auto"/>
              </w:rPr>
              <w:t>Transition and Advisory Services Agreement, dated as of February 1, 2011, by and between Affiliated Managers</w:t>
            </w:r>
          </w:p>
        </w:tc>
      </w:tr>
      <w:tr>
        <w:trPr>
          <w:trHeight w:val="382"/>
        </w:trPr>
        <w:tc>
          <w:tcPr>
            <w:tcW w:w="1900" w:type="dxa"/>
            <w:vAlign w:val="bottom"/>
          </w:tcPr>
          <w:p>
            <w:pPr>
              <w:spacing w:after="0"/>
              <w:rPr>
                <w:sz w:val="24"/>
                <w:szCs w:val="24"/>
                <w:color w:val="auto"/>
              </w:rPr>
            </w:pPr>
          </w:p>
        </w:tc>
        <w:tc>
          <w:tcPr>
            <w:tcW w:w="9520" w:type="dxa"/>
            <w:vAlign w:val="bottom"/>
          </w:tcPr>
          <w:p>
            <w:pPr>
              <w:ind w:left="40"/>
              <w:spacing w:after="0"/>
              <w:rPr>
                <w:sz w:val="20"/>
                <w:szCs w:val="20"/>
                <w:color w:val="auto"/>
              </w:rPr>
            </w:pPr>
            <w:r>
              <w:rPr>
                <w:rFonts w:ascii="Arial" w:cs="Arial" w:eastAsia="Arial" w:hAnsi="Arial"/>
                <w:sz w:val="18"/>
                <w:szCs w:val="18"/>
                <w:color w:val="auto"/>
              </w:rPr>
              <w:t>Group, Inc. and Darrell W. Crate</w:t>
            </w:r>
            <w:r>
              <w:rPr>
                <w:rFonts w:ascii="Arial" w:cs="Arial" w:eastAsia="Arial" w:hAnsi="Arial"/>
                <w:sz w:val="29"/>
                <w:szCs w:val="29"/>
                <w:color w:val="auto"/>
                <w:vertAlign w:val="superscript"/>
              </w:rPr>
              <w:t>(20)</w:t>
            </w:r>
          </w:p>
        </w:tc>
      </w:tr>
      <w:tr>
        <w:trPr>
          <w:trHeight w:val="339"/>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9520" w:type="dxa"/>
            <w:vAlign w:val="bottom"/>
          </w:tcPr>
          <w:p>
            <w:pPr>
              <w:ind w:left="40"/>
              <w:spacing w:after="0"/>
              <w:rPr>
                <w:sz w:val="20"/>
                <w:szCs w:val="20"/>
                <w:color w:val="auto"/>
              </w:rPr>
            </w:pPr>
            <w:r>
              <w:rPr>
                <w:rFonts w:ascii="Arial" w:cs="Arial" w:eastAsia="Arial" w:hAnsi="Arial"/>
                <w:sz w:val="18"/>
                <w:szCs w:val="18"/>
                <w:color w:val="auto"/>
              </w:rPr>
              <w:t>Schedule of Subsidiaries*</w:t>
            </w:r>
          </w:p>
        </w:tc>
      </w:tr>
      <w:tr>
        <w:trPr>
          <w:trHeight w:val="459"/>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9520" w:type="dxa"/>
            <w:vAlign w:val="bottom"/>
          </w:tcPr>
          <w:p>
            <w:pPr>
              <w:ind w:left="40"/>
              <w:spacing w:after="0"/>
              <w:rPr>
                <w:sz w:val="20"/>
                <w:szCs w:val="20"/>
                <w:color w:val="auto"/>
              </w:rPr>
            </w:pPr>
            <w:r>
              <w:rPr>
                <w:rFonts w:ascii="Arial" w:cs="Arial" w:eastAsia="Arial" w:hAnsi="Arial"/>
                <w:sz w:val="18"/>
                <w:szCs w:val="18"/>
                <w:color w:val="auto"/>
              </w:rPr>
              <w:t>Consent of PricewaterhouseCoopers LLP*</w:t>
            </w:r>
          </w:p>
        </w:tc>
      </w:tr>
      <w:tr>
        <w:trPr>
          <w:trHeight w:val="459"/>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9520" w:type="dxa"/>
            <w:vAlign w:val="bottom"/>
          </w:tcPr>
          <w:p>
            <w:pPr>
              <w:ind w:left="40"/>
              <w:spacing w:after="0"/>
              <w:rPr>
                <w:sz w:val="20"/>
                <w:szCs w:val="20"/>
                <w:color w:val="auto"/>
              </w:rPr>
            </w:pPr>
            <w:r>
              <w:rPr>
                <w:rFonts w:ascii="Arial" w:cs="Arial" w:eastAsia="Arial" w:hAnsi="Arial"/>
                <w:sz w:val="18"/>
                <w:szCs w:val="18"/>
                <w:color w:val="auto"/>
              </w:rPr>
              <w:t>Certification of Registrant's Chief Executive Officer pursuant to Section 302 of the Sarbanes-Oxley Act of 2002*</w:t>
            </w:r>
          </w:p>
        </w:tc>
      </w:tr>
      <w:tr>
        <w:trPr>
          <w:trHeight w:val="459"/>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9520" w:type="dxa"/>
            <w:vAlign w:val="bottom"/>
          </w:tcPr>
          <w:p>
            <w:pPr>
              <w:ind w:left="40"/>
              <w:spacing w:after="0"/>
              <w:rPr>
                <w:sz w:val="20"/>
                <w:szCs w:val="20"/>
                <w:color w:val="auto"/>
              </w:rPr>
            </w:pPr>
            <w:r>
              <w:rPr>
                <w:rFonts w:ascii="Arial" w:cs="Arial" w:eastAsia="Arial" w:hAnsi="Arial"/>
                <w:sz w:val="18"/>
                <w:szCs w:val="18"/>
                <w:color w:val="auto"/>
              </w:rPr>
              <w:t>Certification of Registrant's Chief Financial Officer pursuant to Section 302 of the Sarbanes-Oxley Act of 2002*</w:t>
            </w:r>
          </w:p>
        </w:tc>
      </w:tr>
      <w:tr>
        <w:trPr>
          <w:trHeight w:val="459"/>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9520" w:type="dxa"/>
            <w:vAlign w:val="bottom"/>
          </w:tcPr>
          <w:p>
            <w:pPr>
              <w:ind w:left="40"/>
              <w:spacing w:after="0"/>
              <w:rPr>
                <w:sz w:val="20"/>
                <w:szCs w:val="20"/>
                <w:color w:val="auto"/>
              </w:rPr>
            </w:pPr>
            <w:r>
              <w:rPr>
                <w:rFonts w:ascii="Arial" w:cs="Arial" w:eastAsia="Arial" w:hAnsi="Arial"/>
                <w:sz w:val="18"/>
                <w:szCs w:val="18"/>
                <w:color w:val="auto"/>
              </w:rPr>
              <w:t>Certification of Registrant's Chief Executive Officer pursuant to Section 906 of the Sarbanes-Oxley Act of 2002**</w:t>
            </w:r>
          </w:p>
        </w:tc>
      </w:tr>
      <w:tr>
        <w:trPr>
          <w:trHeight w:val="459"/>
        </w:trPr>
        <w:tc>
          <w:tcPr>
            <w:tcW w:w="190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9520" w:type="dxa"/>
            <w:vAlign w:val="bottom"/>
          </w:tcPr>
          <w:p>
            <w:pPr>
              <w:ind w:left="40"/>
              <w:spacing w:after="0"/>
              <w:rPr>
                <w:sz w:val="20"/>
                <w:szCs w:val="20"/>
                <w:color w:val="auto"/>
              </w:rPr>
            </w:pPr>
            <w:r>
              <w:rPr>
                <w:rFonts w:ascii="Arial" w:cs="Arial" w:eastAsia="Arial" w:hAnsi="Arial"/>
                <w:sz w:val="18"/>
                <w:szCs w:val="18"/>
                <w:color w:val="auto"/>
              </w:rPr>
              <w:t>Certification of Registrant's Chief Financial Officer pursuant to Section 906 of the Sarbanes-Oxley Act of 2002**</w:t>
            </w:r>
          </w:p>
        </w:tc>
      </w:tr>
      <w:tr>
        <w:trPr>
          <w:trHeight w:val="120"/>
        </w:trPr>
        <w:tc>
          <w:tcPr>
            <w:tcW w:w="1900" w:type="dxa"/>
            <w:vAlign w:val="bottom"/>
            <w:tcBorders>
              <w:bottom w:val="single" w:sz="8" w:color="808080"/>
            </w:tcBorders>
          </w:tcPr>
          <w:p>
            <w:pPr>
              <w:spacing w:after="0"/>
              <w:rPr>
                <w:sz w:val="10"/>
                <w:szCs w:val="10"/>
                <w:color w:val="auto"/>
              </w:rPr>
            </w:pPr>
          </w:p>
        </w:tc>
        <w:tc>
          <w:tcPr>
            <w:tcW w:w="9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40" w:right="1080" w:hanging="433"/>
        <w:spacing w:after="0" w:line="291" w:lineRule="auto"/>
        <w:tabs>
          <w:tab w:leader="none" w:pos="19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following financial statements from the Registrant's Annual Report on Form 10-K for the fiscal year ended December 31, 2011 are furnished herewith, formatted in XBRL (eXtensible Business Reporting Language): (i) the Consolidated Statements of Income for the years ended December 31, 2011, 2010, and 2009, (ii) the Consolidated Balance Sheets at December 31, 2011 and December 31, 2010, (iii) the Consolidated Statement of Equity for the years ended December 31, 2011, 2010, and 2009, (iv) the Consolidated Statements of Cash Flows for the years ended December 31, 2011, 2010, and 2009, and (v) the Notes to the Consolidated Financial Statements.</w:t>
      </w:r>
    </w:p>
    <w:p>
      <w:pPr>
        <w:spacing w:after="0" w:line="309" w:lineRule="exact"/>
        <w:rPr>
          <w:rFonts w:ascii="Arial" w:cs="Arial" w:eastAsia="Arial" w:hAnsi="Arial"/>
          <w:sz w:val="16"/>
          <w:szCs w:val="16"/>
          <w:color w:val="auto"/>
        </w:rPr>
      </w:pPr>
    </w:p>
    <w:p>
      <w:pPr>
        <w:ind w:left="1680" w:hanging="531"/>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-280035</wp:posOffset>
            </wp:positionV>
            <wp:extent cx="15176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ind w:left="1680" w:hanging="531"/>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1680" w:hanging="531"/>
        <w:spacing w:after="0"/>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9" w:lineRule="exact"/>
        <w:rPr>
          <w:sz w:val="20"/>
          <w:szCs w:val="20"/>
          <w:color w:val="auto"/>
        </w:rPr>
      </w:pPr>
    </w:p>
    <w:p>
      <w:pPr>
        <w:ind w:left="1680" w:hanging="531"/>
        <w:spacing w:after="0"/>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the Company's Registration Statement on Form S-1 (No. 333-34679), filed August 29, 1997, as amended</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the Company's Registration Statement on Form S-8 (No. 333-129748), filed November 16, 2005</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Proxy Statement on Schedule 14A (No. 001-13459), filed April 28, 2006</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(No. 001-13459), filed November 9, 2010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(No. 001-13459), filed April 7, 2006</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(No. 001-13459), filed October 18, 2007</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(No. 001-13459), filed August 12, 2008</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(No. 001-13459), filed January 13, 2011</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(No. 001-13459), filed July 6, 2011</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(No. 001-13459), filed November 4, 2011</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fiscal year ended December 31, 1999 (No. 001-13459), filed March 30, 2000</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Proxy Statement on Schedule 14A (No. 001-13459), filed April 29, 2010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(No. 001-13459), filed May 10, 2004</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(No. 001-13459), filed November 9, 2005</w:t>
      </w:r>
    </w:p>
    <w:p>
      <w:pPr>
        <w:spacing w:after="0" w:line="238"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fiscal year ended December 31, 2008 (No. 001-13459), filed March 2, 2009, as amended</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(No. 001-13459), filed December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Company's Proxy Statement on Schedule 14A (No. 001-13459), filed April 19, 2011</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(No. 001-13459), filed August 9, 2011</w:t>
      </w:r>
    </w:p>
    <w:p>
      <w:pPr>
        <w:spacing w:after="0" w:line="238"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fiscal year ended December 31, 2010 (No. 001-13459), filed March 1, 2011</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(No. 001-13459), filed May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Exhibit 10.15</w:t>
            </w:r>
          </w:p>
        </w:tc>
      </w:tr>
      <w:tr>
        <w:trPr>
          <w:trHeight w:val="432"/>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Execution Version</w:t>
            </w:r>
          </w:p>
        </w:tc>
      </w:tr>
      <w:tr>
        <w:trPr>
          <w:trHeight w:val="432"/>
        </w:trPr>
        <w:tc>
          <w:tcPr>
            <w:tcW w:w="1720" w:type="dxa"/>
            <w:vAlign w:val="bottom"/>
          </w:tcPr>
          <w:p>
            <w:pPr>
              <w:spacing w:after="0"/>
              <w:rPr>
                <w:sz w:val="24"/>
                <w:szCs w:val="24"/>
                <w:color w:val="auto"/>
              </w:rPr>
            </w:pPr>
          </w:p>
        </w:tc>
        <w:tc>
          <w:tcPr>
            <w:tcW w:w="7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LONG-TERM EQUITY INTERESTS PLAN 2011, LP</w:t>
            </w:r>
          </w:p>
        </w:tc>
        <w:tc>
          <w:tcPr>
            <w:tcW w:w="184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7900" w:type="dxa"/>
            <w:vAlign w:val="bottom"/>
            <w:gridSpan w:val="3"/>
          </w:tcPr>
          <w:p>
            <w:pPr>
              <w:jc w:val="center"/>
              <w:spacing w:after="0"/>
              <w:rPr>
                <w:sz w:val="20"/>
                <w:szCs w:val="20"/>
                <w:color w:val="auto"/>
              </w:rPr>
            </w:pPr>
            <w:r>
              <w:rPr>
                <w:rFonts w:ascii="Arial" w:cs="Arial" w:eastAsia="Arial" w:hAnsi="Arial"/>
                <w:sz w:val="18"/>
                <w:szCs w:val="18"/>
                <w:b w:val="1"/>
                <w:bCs w:val="1"/>
                <w:color w:val="auto"/>
              </w:rPr>
              <w:t>LIMITED PARTNERSHIP AGREEMENT</w:t>
            </w:r>
          </w:p>
        </w:tc>
        <w:tc>
          <w:tcPr>
            <w:tcW w:w="184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88"/>
              </w:rPr>
              <w:t>December 31, 2011</w:t>
            </w:r>
          </w:p>
        </w:tc>
        <w:tc>
          <w:tcPr>
            <w:tcW w:w="1840" w:type="dxa"/>
            <w:vAlign w:val="bottom"/>
          </w:tcPr>
          <w:p>
            <w:pPr>
              <w:spacing w:after="0"/>
              <w:rPr>
                <w:sz w:val="24"/>
                <w:szCs w:val="24"/>
                <w:color w:val="auto"/>
              </w:rPr>
            </w:pPr>
          </w:p>
        </w:tc>
      </w:tr>
      <w:tr>
        <w:trPr>
          <w:trHeight w:val="348"/>
        </w:trPr>
        <w:tc>
          <w:tcPr>
            <w:tcW w:w="172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294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r>
      <w:tr>
        <w:trPr>
          <w:trHeight w:val="740"/>
        </w:trPr>
        <w:tc>
          <w:tcPr>
            <w:tcW w:w="1720" w:type="dxa"/>
            <w:vAlign w:val="bottom"/>
          </w:tcPr>
          <w:p>
            <w:pPr>
              <w:spacing w:after="0"/>
              <w:rPr>
                <w:sz w:val="24"/>
                <w:szCs w:val="24"/>
                <w:color w:val="auto"/>
              </w:rPr>
            </w:pPr>
          </w:p>
        </w:tc>
        <w:tc>
          <w:tcPr>
            <w:tcW w:w="79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8"/>
              </w:rPr>
              <w:t>TABLE OF CONTENTS</w:t>
            </w:r>
          </w:p>
        </w:tc>
        <w:tc>
          <w:tcPr>
            <w:tcW w:w="1840" w:type="dxa"/>
            <w:vAlign w:val="bottom"/>
          </w:tcPr>
          <w:p>
            <w:pPr>
              <w:spacing w:after="0"/>
              <w:rPr>
                <w:sz w:val="24"/>
                <w:szCs w:val="24"/>
                <w:color w:val="auto"/>
              </w:rPr>
            </w:pPr>
          </w:p>
        </w:tc>
      </w:tr>
      <w:tr>
        <w:trPr>
          <w:trHeight w:val="438"/>
        </w:trPr>
        <w:tc>
          <w:tcPr>
            <w:tcW w:w="4760" w:type="dxa"/>
            <w:vAlign w:val="bottom"/>
            <w:gridSpan w:val="2"/>
          </w:tcPr>
          <w:p>
            <w:pPr>
              <w:spacing w:after="0"/>
              <w:rPr>
                <w:sz w:val="20"/>
                <w:szCs w:val="20"/>
                <w:color w:val="auto"/>
              </w:rPr>
            </w:pPr>
            <w:r>
              <w:rPr>
                <w:rFonts w:ascii="Arial" w:cs="Arial" w:eastAsia="Arial" w:hAnsi="Arial"/>
                <w:sz w:val="18"/>
                <w:szCs w:val="18"/>
                <w:color w:val="auto"/>
              </w:rPr>
              <w:t>ARTICLE I - DEFINITIONS</w:t>
            </w:r>
          </w:p>
        </w:tc>
        <w:tc>
          <w:tcPr>
            <w:tcW w:w="192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Definitions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II - GENERAL PROVISIONS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Continuation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Name</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Term</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Registered Agent and Registered Office</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Principal Place of Business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Purposes and Powers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Title to Property</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New AMG Affiliates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Follow-on Investments</w:t>
            </w: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Withdrawal of the Initial Limited Partner</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III - MANAGEMENT OF THE PARTNERSHIP</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General Partner</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Limited Partners</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IV - CAPITAL ACCOUNTS; ALLOCATIONS AND DISTRIBUTIONS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Capital Accounts</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Allocations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Distributions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Distributions Upon Dissolution; Establishment of a Reserve Upon Dissolution</w:t>
            </w: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Certain Special Allocations; Proceeds from Capital Contributions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Federal Tax Allocations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Profits Interests</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V - TRANSFERS; RESIGNATION, REDEMPTION AND WITHDRAWAL</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Transferability of Partnership Interests</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Substitute Partners</w:t>
            </w: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w w:val="95"/>
              </w:rPr>
              <w:t>Allocations and Distributions as between Transferor and Transferee; Successor to Capital Accounts</w:t>
            </w: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Resignation, Redemptions, Withdrawals</w:t>
            </w: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Additional Requirements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5.6</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Representations of Partners</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VI - VESTING; PUTS AND CALLS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Vesting of Partnership Points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Forfeiture of Unvested Points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Fair Value Determination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Puts and Calls of Vested Points</w:t>
            </w: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VII - DISSOLUTION AND 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No Dissolution</w:t>
            </w: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Events of Dissolution</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Notice of Dissolution</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Liquidation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2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7900" w:type="dxa"/>
            <w:vAlign w:val="bottom"/>
            <w:gridSpan w:val="3"/>
          </w:tcPr>
          <w:p>
            <w:pPr>
              <w:ind w:left="280"/>
              <w:spacing w:after="0"/>
              <w:rPr>
                <w:sz w:val="20"/>
                <w:szCs w:val="20"/>
                <w:color w:val="auto"/>
              </w:rPr>
            </w:pPr>
            <w:r>
              <w:rPr>
                <w:rFonts w:ascii="Arial" w:cs="Arial" w:eastAsia="Arial" w:hAnsi="Arial"/>
                <w:sz w:val="18"/>
                <w:szCs w:val="18"/>
                <w:color w:val="auto"/>
              </w:rPr>
              <w:t>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720" w:type="dxa"/>
            <w:vAlign w:val="bottom"/>
          </w:tcPr>
          <w:p>
            <w:pPr>
              <w:spacing w:after="0"/>
              <w:rPr>
                <w:sz w:val="24"/>
                <w:szCs w:val="24"/>
                <w:color w:val="auto"/>
              </w:rPr>
            </w:pPr>
          </w:p>
        </w:tc>
        <w:tc>
          <w:tcPr>
            <w:tcW w:w="4960" w:type="dxa"/>
            <w:vAlign w:val="bottom"/>
            <w:gridSpan w:val="2"/>
          </w:tcPr>
          <w:p>
            <w:pPr>
              <w:jc w:val="center"/>
              <w:ind w:left="2930"/>
              <w:spacing w:after="0"/>
              <w:rPr>
                <w:sz w:val="20"/>
                <w:szCs w:val="20"/>
                <w:color w:val="auto"/>
              </w:rPr>
            </w:pPr>
            <w:r>
              <w:rPr>
                <w:rFonts w:ascii="Arial" w:cs="Arial" w:eastAsia="Arial" w:hAnsi="Arial"/>
                <w:sz w:val="18"/>
                <w:szCs w:val="18"/>
                <w:color w:val="auto"/>
                <w:w w:val="99"/>
              </w:rPr>
              <w:t>1</w:t>
            </w:r>
          </w:p>
        </w:tc>
        <w:tc>
          <w:tcPr>
            <w:tcW w:w="29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72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r>
      <w:tr>
        <w:trPr>
          <w:trHeight w:val="766"/>
        </w:trPr>
        <w:tc>
          <w:tcPr>
            <w:tcW w:w="1720" w:type="dxa"/>
            <w:vAlign w:val="bottom"/>
          </w:tcPr>
          <w:p>
            <w:pPr>
              <w:ind w:left="540"/>
              <w:spacing w:after="0"/>
              <w:rPr>
                <w:sz w:val="20"/>
                <w:szCs w:val="20"/>
                <w:color w:val="auto"/>
              </w:rPr>
            </w:pPr>
            <w:r>
              <w:rPr>
                <w:rFonts w:ascii="Arial" w:cs="Arial" w:eastAsia="Arial" w:hAnsi="Arial"/>
                <w:sz w:val="18"/>
                <w:szCs w:val="18"/>
                <w:color w:val="auto"/>
              </w:rPr>
              <w:t>Section 7.6</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Claims of the Partners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VIII - RECORDS; TAX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Books and Records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Tax Year</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Tax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rPr>
              <w:t>ARTICLE IX - LIABILITY, EXCULPATION AND 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Exculpation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Fiduciary Duty</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Notice; Opportunity to Defend and 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72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7900" w:type="dxa"/>
            <w:vAlign w:val="bottom"/>
            <w:gridSpan w:val="3"/>
          </w:tcPr>
          <w:p>
            <w:pPr>
              <w:ind w:left="320"/>
              <w:spacing w:after="0"/>
              <w:rPr>
                <w:sz w:val="20"/>
                <w:szCs w:val="20"/>
                <w:color w:val="auto"/>
              </w:rPr>
            </w:pPr>
            <w:r>
              <w:rPr>
                <w:rFonts w:ascii="Arial" w:cs="Arial" w:eastAsia="Arial" w:hAnsi="Arial"/>
                <w:sz w:val="18"/>
                <w:szCs w:val="18"/>
                <w:color w:val="auto"/>
              </w:rPr>
              <w:t>Miscellaneous</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-8800465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-8800465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2760" w:type="dxa"/>
            <w:vAlign w:val="bottom"/>
            <w:gridSpan w:val="5"/>
          </w:tcPr>
          <w:p>
            <w:pPr>
              <w:spacing w:after="0"/>
              <w:rPr>
                <w:sz w:val="20"/>
                <w:szCs w:val="20"/>
                <w:color w:val="auto"/>
              </w:rPr>
            </w:pPr>
            <w:r>
              <w:rPr>
                <w:rFonts w:ascii="Arial" w:cs="Arial" w:eastAsia="Arial" w:hAnsi="Arial"/>
                <w:sz w:val="18"/>
                <w:szCs w:val="18"/>
                <w:color w:val="auto"/>
              </w:rPr>
              <w:t>ARTICLE X - MISCELLANEOUS</w:t>
            </w: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w:t>
            </w:r>
          </w:p>
        </w:tc>
        <w:tc>
          <w:tcPr>
            <w:tcW w:w="7960" w:type="dxa"/>
            <w:vAlign w:val="bottom"/>
            <w:gridSpan w:val="3"/>
          </w:tcPr>
          <w:p>
            <w:pPr>
              <w:ind w:left="220"/>
              <w:spacing w:after="0"/>
              <w:rPr>
                <w:sz w:val="20"/>
                <w:szCs w:val="20"/>
                <w:color w:val="auto"/>
              </w:rPr>
            </w:pPr>
            <w:r>
              <w:rPr>
                <w:rFonts w:ascii="Arial" w:cs="Arial" w:eastAsia="Arial" w:hAnsi="Arial"/>
                <w:sz w:val="18"/>
                <w:szCs w:val="18"/>
                <w:color w:val="auto"/>
              </w:rPr>
              <w:t>Delivery of AMG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10.2</w:t>
            </w:r>
          </w:p>
        </w:tc>
        <w:tc>
          <w:tcPr>
            <w:tcW w:w="940" w:type="dxa"/>
            <w:vAlign w:val="bottom"/>
          </w:tcPr>
          <w:p>
            <w:pPr>
              <w:ind w:left="220"/>
              <w:spacing w:after="0"/>
              <w:rPr>
                <w:sz w:val="20"/>
                <w:szCs w:val="20"/>
                <w:color w:val="auto"/>
              </w:rPr>
            </w:pPr>
            <w:r>
              <w:rPr>
                <w:rFonts w:ascii="Arial" w:cs="Arial" w:eastAsia="Arial" w:hAnsi="Arial"/>
                <w:sz w:val="18"/>
                <w:szCs w:val="18"/>
                <w:color w:val="auto"/>
              </w:rPr>
              <w:t>Notices</w:t>
            </w: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10.3</w:t>
            </w:r>
          </w:p>
        </w:tc>
        <w:tc>
          <w:tcPr>
            <w:tcW w:w="7960" w:type="dxa"/>
            <w:vAlign w:val="bottom"/>
            <w:gridSpan w:val="3"/>
          </w:tcPr>
          <w:p>
            <w:pPr>
              <w:ind w:left="220"/>
              <w:spacing w:after="0"/>
              <w:rPr>
                <w:sz w:val="20"/>
                <w:szCs w:val="20"/>
                <w:color w:val="auto"/>
              </w:rPr>
            </w:pPr>
            <w:r>
              <w:rPr>
                <w:rFonts w:ascii="Arial" w:cs="Arial" w:eastAsia="Arial" w:hAnsi="Arial"/>
                <w:sz w:val="18"/>
                <w:szCs w:val="18"/>
                <w:color w:val="auto"/>
              </w:rPr>
              <w:t>Successors and Assigns</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10.4</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Amendments</w:t>
            </w: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10.5</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No Partition</w:t>
            </w: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10.6</w:t>
            </w:r>
          </w:p>
        </w:tc>
        <w:tc>
          <w:tcPr>
            <w:tcW w:w="7960" w:type="dxa"/>
            <w:vAlign w:val="bottom"/>
            <w:gridSpan w:val="3"/>
          </w:tcPr>
          <w:p>
            <w:pPr>
              <w:ind w:left="220"/>
              <w:spacing w:after="0"/>
              <w:rPr>
                <w:sz w:val="20"/>
                <w:szCs w:val="20"/>
                <w:color w:val="auto"/>
              </w:rPr>
            </w:pPr>
            <w:r>
              <w:rPr>
                <w:rFonts w:ascii="Arial" w:cs="Arial" w:eastAsia="Arial" w:hAnsi="Arial"/>
                <w:sz w:val="18"/>
                <w:szCs w:val="18"/>
                <w:color w:val="auto"/>
              </w:rPr>
              <w:t>No Waiver; Cumulative Remedies</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10.7</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w w:val="99"/>
              </w:rPr>
              <w:t>Dispute Resolution</w:t>
            </w: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10.8</w:t>
            </w:r>
          </w:p>
        </w:tc>
        <w:tc>
          <w:tcPr>
            <w:tcW w:w="7960" w:type="dxa"/>
            <w:vAlign w:val="bottom"/>
            <w:gridSpan w:val="3"/>
          </w:tcPr>
          <w:p>
            <w:pPr>
              <w:ind w:left="220"/>
              <w:spacing w:after="0"/>
              <w:rPr>
                <w:sz w:val="20"/>
                <w:szCs w:val="20"/>
                <w:color w:val="auto"/>
              </w:rPr>
            </w:pPr>
            <w:r>
              <w:rPr>
                <w:rFonts w:ascii="Arial" w:cs="Arial" w:eastAsia="Arial" w:hAnsi="Arial"/>
                <w:sz w:val="18"/>
                <w:szCs w:val="18"/>
                <w:color w:val="auto"/>
              </w:rPr>
              <w:t>Prior Agreements Superseded</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10.9</w:t>
            </w:r>
          </w:p>
        </w:tc>
        <w:tc>
          <w:tcPr>
            <w:tcW w:w="940" w:type="dxa"/>
            <w:vAlign w:val="bottom"/>
          </w:tcPr>
          <w:p>
            <w:pPr>
              <w:ind w:left="220"/>
              <w:spacing w:after="0"/>
              <w:rPr>
                <w:sz w:val="20"/>
                <w:szCs w:val="20"/>
                <w:color w:val="auto"/>
              </w:rPr>
            </w:pPr>
            <w:r>
              <w:rPr>
                <w:rFonts w:ascii="Arial" w:cs="Arial" w:eastAsia="Arial" w:hAnsi="Arial"/>
                <w:sz w:val="18"/>
                <w:szCs w:val="18"/>
                <w:color w:val="auto"/>
                <w:w w:val="98"/>
              </w:rPr>
              <w:t>Captions</w:t>
            </w: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10.10</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Counterparts</w:t>
            </w: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10.11</w:t>
            </w:r>
          </w:p>
        </w:tc>
        <w:tc>
          <w:tcPr>
            <w:tcW w:w="7960" w:type="dxa"/>
            <w:vAlign w:val="bottom"/>
            <w:gridSpan w:val="3"/>
          </w:tcPr>
          <w:p>
            <w:pPr>
              <w:ind w:left="220"/>
              <w:spacing w:after="0"/>
              <w:rPr>
                <w:sz w:val="20"/>
                <w:szCs w:val="20"/>
                <w:color w:val="auto"/>
              </w:rPr>
            </w:pPr>
            <w:r>
              <w:rPr>
                <w:rFonts w:ascii="Arial" w:cs="Arial" w:eastAsia="Arial" w:hAnsi="Arial"/>
                <w:sz w:val="18"/>
                <w:szCs w:val="18"/>
                <w:color w:val="auto"/>
              </w:rPr>
              <w:t>Applicable Law; Jurisdiction</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10.12</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Interpretation</w:t>
            </w: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10.13</w:t>
            </w:r>
          </w:p>
        </w:tc>
        <w:tc>
          <w:tcPr>
            <w:tcW w:w="7960" w:type="dxa"/>
            <w:vAlign w:val="bottom"/>
            <w:gridSpan w:val="3"/>
          </w:tcPr>
          <w:p>
            <w:pPr>
              <w:ind w:left="220"/>
              <w:spacing w:after="0"/>
              <w:rPr>
                <w:sz w:val="20"/>
                <w:szCs w:val="20"/>
                <w:color w:val="auto"/>
              </w:rPr>
            </w:pPr>
            <w:r>
              <w:rPr>
                <w:rFonts w:ascii="Arial" w:cs="Arial" w:eastAsia="Arial" w:hAnsi="Arial"/>
                <w:sz w:val="18"/>
                <w:szCs w:val="18"/>
                <w:color w:val="auto"/>
              </w:rPr>
              <w:t>Exhibits and Schedules</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10.14</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Severability</w:t>
            </w: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10.15</w:t>
            </w:r>
          </w:p>
        </w:tc>
        <w:tc>
          <w:tcPr>
            <w:tcW w:w="940" w:type="dxa"/>
            <w:vAlign w:val="bottom"/>
          </w:tcPr>
          <w:p>
            <w:pPr>
              <w:ind w:left="220"/>
              <w:spacing w:after="0"/>
              <w:rPr>
                <w:sz w:val="20"/>
                <w:szCs w:val="20"/>
                <w:color w:val="auto"/>
              </w:rPr>
            </w:pPr>
            <w:r>
              <w:rPr>
                <w:rFonts w:ascii="Arial" w:cs="Arial" w:eastAsia="Arial" w:hAnsi="Arial"/>
                <w:sz w:val="18"/>
                <w:szCs w:val="18"/>
                <w:color w:val="auto"/>
                <w:w w:val="95"/>
              </w:rPr>
              <w:t>Creditors</w:t>
            </w: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Section 10.16</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Guaranty of AMG</w:t>
            </w:r>
          </w:p>
        </w:tc>
        <w:tc>
          <w:tcPr>
            <w:tcW w:w="6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5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8"/>
        </w:trPr>
        <w:tc>
          <w:tcPr>
            <w:tcW w:w="540" w:type="dxa"/>
            <w:vAlign w:val="bottom"/>
          </w:tcPr>
          <w:p>
            <w:pPr>
              <w:spacing w:after="0"/>
              <w:rPr>
                <w:sz w:val="24"/>
                <w:szCs w:val="24"/>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4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220" w:type="dxa"/>
            <w:vAlign w:val="bottom"/>
          </w:tcPr>
          <w:p>
            <w:pPr>
              <w:ind w:left="140"/>
              <w:spacing w:after="0"/>
              <w:rPr>
                <w:sz w:val="20"/>
                <w:szCs w:val="20"/>
                <w:color w:val="auto"/>
              </w:rPr>
            </w:pPr>
            <w:r>
              <w:rPr>
                <w:rFonts w:ascii="Arial" w:cs="Arial" w:eastAsia="Arial" w:hAnsi="Arial"/>
                <w:sz w:val="18"/>
                <w:szCs w:val="18"/>
                <w:color w:val="auto"/>
              </w:rPr>
              <w:t>Defined Terms</w:t>
            </w:r>
          </w:p>
        </w:tc>
        <w:tc>
          <w:tcPr>
            <w:tcW w:w="16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4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220" w:type="dxa"/>
            <w:vAlign w:val="bottom"/>
          </w:tcPr>
          <w:p>
            <w:pPr>
              <w:ind w:left="140"/>
              <w:spacing w:after="0"/>
              <w:rPr>
                <w:sz w:val="20"/>
                <w:szCs w:val="20"/>
                <w:color w:val="auto"/>
              </w:rPr>
            </w:pPr>
            <w:r>
              <w:rPr>
                <w:rFonts w:ascii="Arial" w:cs="Arial" w:eastAsia="Arial" w:hAnsi="Arial"/>
                <w:sz w:val="18"/>
                <w:szCs w:val="18"/>
                <w:color w:val="auto"/>
              </w:rPr>
              <w:t>Form of Purchase Notice</w:t>
            </w:r>
          </w:p>
        </w:tc>
        <w:tc>
          <w:tcPr>
            <w:tcW w:w="16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8"/>
                <w:szCs w:val="18"/>
                <w:color w:val="auto"/>
              </w:rPr>
              <w:t>Exhibits C-1 and C-2</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220" w:type="dxa"/>
            <w:vAlign w:val="bottom"/>
          </w:tcPr>
          <w:p>
            <w:pPr>
              <w:ind w:left="140"/>
              <w:spacing w:after="0"/>
              <w:rPr>
                <w:sz w:val="20"/>
                <w:szCs w:val="20"/>
                <w:color w:val="auto"/>
              </w:rPr>
            </w:pPr>
            <w:r>
              <w:rPr>
                <w:rFonts w:ascii="Arial" w:cs="Arial" w:eastAsia="Arial" w:hAnsi="Arial"/>
                <w:sz w:val="18"/>
                <w:szCs w:val="18"/>
                <w:color w:val="auto"/>
              </w:rPr>
              <w:t>Forms of Applicable Holding Company Constituent Documents</w:t>
            </w:r>
          </w:p>
        </w:tc>
        <w:tc>
          <w:tcPr>
            <w:tcW w:w="168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8"/>
        </w:trPr>
        <w:tc>
          <w:tcPr>
            <w:tcW w:w="540" w:type="dxa"/>
            <w:vAlign w:val="bottom"/>
          </w:tcPr>
          <w:p>
            <w:pPr>
              <w:spacing w:after="0"/>
              <w:rPr>
                <w:sz w:val="24"/>
                <w:szCs w:val="24"/>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Schedule A</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220" w:type="dxa"/>
            <w:vAlign w:val="bottom"/>
          </w:tcPr>
          <w:p>
            <w:pPr>
              <w:ind w:left="140"/>
              <w:spacing w:after="0"/>
              <w:rPr>
                <w:sz w:val="20"/>
                <w:szCs w:val="20"/>
                <w:color w:val="auto"/>
              </w:rPr>
            </w:pPr>
            <w:r>
              <w:rPr>
                <w:rFonts w:ascii="Arial" w:cs="Arial" w:eastAsia="Arial" w:hAnsi="Arial"/>
                <w:sz w:val="18"/>
                <w:szCs w:val="18"/>
                <w:color w:val="auto"/>
              </w:rPr>
              <w:t>Partners and Partnership Points</w:t>
            </w:r>
          </w:p>
        </w:tc>
        <w:tc>
          <w:tcPr>
            <w:tcW w:w="168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Schedule B</w:t>
            </w:r>
          </w:p>
        </w:tc>
        <w:tc>
          <w:tcPr>
            <w:tcW w:w="940" w:type="dxa"/>
            <w:vAlign w:val="bottom"/>
          </w:tcPr>
          <w:p>
            <w:pPr>
              <w:spacing w:after="0"/>
              <w:rPr>
                <w:sz w:val="20"/>
                <w:szCs w:val="20"/>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220" w:type="dxa"/>
            <w:vAlign w:val="bottom"/>
          </w:tcPr>
          <w:p>
            <w:pPr>
              <w:ind w:left="140"/>
              <w:spacing w:after="0"/>
              <w:rPr>
                <w:sz w:val="20"/>
                <w:szCs w:val="20"/>
                <w:color w:val="auto"/>
              </w:rPr>
            </w:pPr>
            <w:r>
              <w:rPr>
                <w:rFonts w:ascii="Arial" w:cs="Arial" w:eastAsia="Arial" w:hAnsi="Arial"/>
                <w:sz w:val="18"/>
                <w:szCs w:val="18"/>
                <w:color w:val="auto"/>
              </w:rPr>
              <w:t>Applicable AMG Affiliates and Applicable Holding Companies</w:t>
            </w:r>
          </w:p>
        </w:tc>
        <w:tc>
          <w:tcPr>
            <w:tcW w:w="168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20" w:type="dxa"/>
            <w:vAlign w:val="bottom"/>
          </w:tcPr>
          <w:p>
            <w:pPr>
              <w:ind w:left="210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622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LONG-TERM EQUITY INTERESTS PLAN 2011, LP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PARTNERSHIP AGREEMENT</w:t>
      </w:r>
    </w:p>
    <w:p>
      <w:pPr>
        <w:spacing w:after="0" w:line="21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This Limited Partnership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of Long-Term Equity Interests Plan 2011, LP (the “</w:t>
      </w:r>
      <w:r>
        <w:rPr>
          <w:rFonts w:ascii="Arial" w:cs="Arial" w:eastAsia="Arial" w:hAnsi="Arial"/>
          <w:sz w:val="17"/>
          <w:szCs w:val="17"/>
          <w:u w:val="single" w:color="auto"/>
          <w:color w:val="auto"/>
        </w:rPr>
        <w:t>Partnership</w:t>
      </w:r>
      <w:r>
        <w:rPr>
          <w:rFonts w:ascii="Arial" w:cs="Arial" w:eastAsia="Arial" w:hAnsi="Arial"/>
          <w:sz w:val="17"/>
          <w:szCs w:val="17"/>
          <w:color w:val="auto"/>
        </w:rPr>
        <w:t>”) is made and entered into as of 11:59 p.m. on December 31, 2011 (the “</w:t>
      </w:r>
      <w:r>
        <w:rPr>
          <w:rFonts w:ascii="Arial" w:cs="Arial" w:eastAsia="Arial" w:hAnsi="Arial"/>
          <w:sz w:val="17"/>
          <w:szCs w:val="17"/>
          <w:u w:val="single" w:color="auto"/>
          <w:color w:val="auto"/>
        </w:rPr>
        <w:t>Effective Time</w:t>
      </w:r>
      <w:r>
        <w:rPr>
          <w:rFonts w:ascii="Arial" w:cs="Arial" w:eastAsia="Arial" w:hAnsi="Arial"/>
          <w:sz w:val="17"/>
          <w:szCs w:val="17"/>
          <w:color w:val="auto"/>
        </w:rPr>
        <w:t>”), by and among the General Partner, the Initial Limited Partner (solely for purposes of Section 2.10), Affiliated Managers Group, Inc. (“</w:t>
      </w:r>
      <w:r>
        <w:rPr>
          <w:rFonts w:ascii="Arial" w:cs="Arial" w:eastAsia="Arial" w:hAnsi="Arial"/>
          <w:sz w:val="17"/>
          <w:szCs w:val="17"/>
          <w:u w:val="single" w:color="auto"/>
          <w:color w:val="auto"/>
        </w:rPr>
        <w:t>AMG</w:t>
      </w:r>
      <w:r>
        <w:rPr>
          <w:rFonts w:ascii="Arial" w:cs="Arial" w:eastAsia="Arial" w:hAnsi="Arial"/>
          <w:sz w:val="17"/>
          <w:szCs w:val="17"/>
          <w:color w:val="auto"/>
        </w:rPr>
        <w:t xml:space="preserve">”) (solely for purposes of Sections 2.8, 2.9 and 10.16), the Persons identified as Limited Partners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and the Persons who become Partners of the Partnership in accordance with the provisions hereof.</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the Partnership was formed pursuant to the Act by filing the Certificate and entering into the Existing Agreement as of December 31, 2011; and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the Partners desire to continue the Partnership as a limited partnership under the Act from and after the Effective Time, and to amend and restate the Existing Agreement in its entirety as herein set forth.</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and in consideration of the mutual covenants hereinafter set forth, the parties hereby agree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 - DEFINITIONS.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in this Agreement (including the Exhibits and Schedules hereto) but not defined in the body hereof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 - GENERAL PROVISIONS.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Continuation</w:t>
      </w:r>
      <w:r>
        <w:rPr>
          <w:rFonts w:ascii="Arial" w:cs="Arial" w:eastAsia="Arial" w:hAnsi="Arial"/>
          <w:sz w:val="16"/>
          <w:szCs w:val="16"/>
          <w:color w:val="auto"/>
        </w:rPr>
        <w:t>.</w:t>
      </w:r>
    </w:p>
    <w:p>
      <w:pPr>
        <w:spacing w:after="0" w:line="225" w:lineRule="exact"/>
        <w:rPr>
          <w:sz w:val="20"/>
          <w:szCs w:val="20"/>
          <w:color w:val="auto"/>
        </w:rPr>
      </w:pPr>
    </w:p>
    <w:p>
      <w:pPr>
        <w:jc w:val="both"/>
        <w:ind w:left="180" w:right="320" w:firstLine="1287"/>
        <w:spacing w:after="0" w:line="259" w:lineRule="auto"/>
        <w:tabs>
          <w:tab w:leader="none" w:pos="19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General Partner has formed the Partnership under and pursuant to the terms of the Act. The Partners agree to continue the Partnership as a limited partnership under and pursuant to the provisions of the Act, and further agree that the rights, duties and liabilities of the Partners shall be as provided in the Act, except as otherwise provided in this Agreement. The Existing Agreement is amended and restated in its entirety by this Agreement, effective as of the Effective Time.</w:t>
      </w:r>
    </w:p>
    <w:p>
      <w:pPr>
        <w:spacing w:after="0" w:line="186" w:lineRule="exact"/>
        <w:rPr>
          <w:rFonts w:ascii="Arial" w:cs="Arial" w:eastAsia="Arial" w:hAnsi="Arial"/>
          <w:sz w:val="18"/>
          <w:szCs w:val="18"/>
          <w:color w:val="auto"/>
        </w:rPr>
      </w:pPr>
    </w:p>
    <w:p>
      <w:pPr>
        <w:ind w:left="180" w:right="220" w:firstLine="1287"/>
        <w:spacing w:after="0" w:line="277" w:lineRule="auto"/>
        <w:tabs>
          <w:tab w:leader="none" w:pos="19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General Partner shall execute, deliver and file any certificates required or permitted by the Act to be filed in the office of the Secretary of State of the State of Delaware.</w:t>
      </w:r>
    </w:p>
    <w:p>
      <w:pPr>
        <w:spacing w:after="0" w:line="17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Partnership shall be “Long-Term Equity Interests Plan 2011, LP.” At any time, the name of the Partnership may be changed by the General Partner.</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The term of the Partnership shall continue in perpetuity, until the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316" w:gutter="0" w:footer="0" w:header="0"/>
        </w:sectPr>
      </w:pPr>
    </w:p>
    <w:bookmarkStart w:id="97" w:name="page98"/>
    <w:bookmarkEnd w:id="97"/>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Partnership is dissolved in accordance with the provisions of this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Registered Agent and Registered Office</w:t>
      </w:r>
      <w:r>
        <w:rPr>
          <w:rFonts w:ascii="Arial" w:cs="Arial" w:eastAsia="Arial" w:hAnsi="Arial"/>
          <w:sz w:val="18"/>
          <w:szCs w:val="18"/>
          <w:color w:val="auto"/>
        </w:rPr>
        <w:t>. The Partnership’s registered agent and registered office in Delaware shall be as set forth in the Certificate. At any time, the General Partner may designate another registered agent and/or registered office.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Principal Place of Business</w:t>
      </w:r>
      <w:r>
        <w:rPr>
          <w:rFonts w:ascii="Arial" w:cs="Arial" w:eastAsia="Arial" w:hAnsi="Arial"/>
          <w:sz w:val="18"/>
          <w:szCs w:val="18"/>
          <w:color w:val="auto"/>
        </w:rPr>
        <w:t>. The principal place of business of the Partnership shall be at the offices of the General Partner. At any time, the location of the Partnership’s principal place of business may be changed by the General Partner.</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Purposes and Powers</w:t>
      </w:r>
      <w:r>
        <w:rPr>
          <w:rFonts w:ascii="Arial" w:cs="Arial" w:eastAsia="Arial" w:hAnsi="Arial"/>
          <w:sz w:val="17"/>
          <w:szCs w:val="17"/>
          <w:color w:val="auto"/>
        </w:rPr>
        <w:t>. The principal business activity and purpose of the Partnership shall be (a) to hold ownership interests in the Applicable Holding Companies, and (b) to provide guidance to AMG in relation to AMG’s (or its applicable Controlled Affiliates’) exercise of its rights and obligations as the managing member, general partner or managing partner (or the equivalent, as applicable) of each of the Applicable AMG Affiliates. In addition, the Partnership shall have the authority to engage in any other lawful business, purpose or activity permitted by the Act which is determined by the General Partner with a Supermajority Limited Partner Vote, and it shall possess and may exercise all of the powers and privileges granted by the Act or which may be exercised by any Person, together with any powers incidental thereto, so far as such powers or privileges are necessary or convenient to the conduct, promotion or attainment of the business purposes or activities of the Partnership.</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Title to Property</w:t>
      </w:r>
      <w:r>
        <w:rPr>
          <w:rFonts w:ascii="Arial" w:cs="Arial" w:eastAsia="Arial" w:hAnsi="Arial"/>
          <w:sz w:val="18"/>
          <w:szCs w:val="18"/>
          <w:color w:val="auto"/>
        </w:rPr>
        <w:t>. All property owned by the Partnership, real or personal, tangible or intangible, shall be deemed to be owned by the Partnership as an entity, and no Partner, individually, shall have any ownership of such property.</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New AMG Affiliates</w:t>
      </w:r>
      <w:r>
        <w:rPr>
          <w:rFonts w:ascii="Arial" w:cs="Arial" w:eastAsia="Arial" w:hAnsi="Arial"/>
          <w:sz w:val="17"/>
          <w:szCs w:val="17"/>
          <w:color w:val="auto"/>
        </w:rPr>
        <w:t>. As soon as practicable following the consummation of AMG’s acquisition of a direct or indirect ownership interest in a New AMG Affiliate (a “</w:t>
      </w:r>
      <w:r>
        <w:rPr>
          <w:rFonts w:ascii="Arial" w:cs="Arial" w:eastAsia="Arial" w:hAnsi="Arial"/>
          <w:sz w:val="17"/>
          <w:szCs w:val="17"/>
          <w:u w:val="single" w:color="auto"/>
          <w:color w:val="auto"/>
        </w:rPr>
        <w:t>New Investment</w:t>
      </w:r>
      <w:r>
        <w:rPr>
          <w:rFonts w:ascii="Arial" w:cs="Arial" w:eastAsia="Arial" w:hAnsi="Arial"/>
          <w:sz w:val="17"/>
          <w:szCs w:val="17"/>
          <w:color w:val="auto"/>
        </w:rPr>
        <w:t xml:space="preserve">”), AMG shall (a) cause the Applicable Holding Company through which AMG owns such ownership interest to issue to the Partnership an ownership interest in such Applicable Holding Company having the same rights and obligations as provided in the form(s) of constituent document set forth in </w:t>
      </w:r>
      <w:r>
        <w:rPr>
          <w:rFonts w:ascii="Arial" w:cs="Arial" w:eastAsia="Arial" w:hAnsi="Arial"/>
          <w:sz w:val="17"/>
          <w:szCs w:val="17"/>
          <w:u w:val="single" w:color="auto"/>
          <w:color w:val="auto"/>
        </w:rPr>
        <w:t>Exhibit C-1</w:t>
      </w:r>
      <w:r>
        <w:rPr>
          <w:rFonts w:ascii="Arial" w:cs="Arial" w:eastAsia="Arial" w:hAnsi="Arial"/>
          <w:sz w:val="17"/>
          <w:szCs w:val="17"/>
          <w:color w:val="auto"/>
        </w:rPr>
        <w:t xml:space="preserve"> (in the case of an Applicable Holding Company that is a limited liability company) or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(in the case of an Applicable Holding Company that is a corporation), (b) cause the constituent or other governing documents of such Applicable Holding Company to be amended and restated in the form(s) set forth in </w:t>
      </w:r>
      <w:r>
        <w:rPr>
          <w:rFonts w:ascii="Arial" w:cs="Arial" w:eastAsia="Arial" w:hAnsi="Arial"/>
          <w:sz w:val="17"/>
          <w:szCs w:val="17"/>
          <w:u w:val="single" w:color="auto"/>
          <w:color w:val="auto"/>
        </w:rPr>
        <w:t>Exhibit C-1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as applicable, and (c) cause the General Partner to update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to include such New AMG Affiliate as an Applicable AMG Affiliate and such other information (including, without limitation, the Series C Percentage applicable to such related Applicable Holding Company) required with respect thereto. The Series C Percentage applicable to any such Applicable Holding Company at the time of such New Investment shall be the percentage set forth on Part 3 of </w:t>
      </w:r>
      <w:r>
        <w:rPr>
          <w:rFonts w:ascii="Arial" w:cs="Arial" w:eastAsia="Arial" w:hAnsi="Arial"/>
          <w:sz w:val="17"/>
          <w:szCs w:val="17"/>
          <w:u w:val="single" w:color="auto"/>
          <w:color w:val="auto"/>
        </w:rPr>
        <w:t>Schedule B</w:t>
      </w:r>
      <w:r>
        <w:rPr>
          <w:rFonts w:ascii="Arial" w:cs="Arial" w:eastAsia="Arial" w:hAnsi="Arial"/>
          <w:sz w:val="17"/>
          <w:szCs w:val="17"/>
          <w:color w:val="auto"/>
        </w:rPr>
        <w:t>.</w:t>
      </w:r>
    </w:p>
    <w:p>
      <w:pPr>
        <w:spacing w:after="0" w:line="18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Follow-on Investments</w:t>
      </w:r>
      <w:r>
        <w:rPr>
          <w:rFonts w:ascii="Arial" w:cs="Arial" w:eastAsia="Arial" w:hAnsi="Arial"/>
          <w:sz w:val="18"/>
          <w:szCs w:val="18"/>
          <w:color w:val="auto"/>
        </w:rPr>
        <w:t>. As soon as practicable following the consummation of an additional investment made directly or indirectly by AMG in an Applicable AMG Affiliate following the Effective Time (in the case of an Extant AMG Affiliate)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following the date of a New Investment in an Applicable AMG Affiliate (in the case of a New AMG Affiliate) (a “</w:t>
      </w:r>
      <w:r>
        <w:rPr>
          <w:rFonts w:ascii="Arial" w:cs="Arial" w:eastAsia="Arial" w:hAnsi="Arial"/>
          <w:sz w:val="16"/>
          <w:szCs w:val="16"/>
          <w:u w:val="single" w:color="auto"/>
          <w:color w:val="auto"/>
        </w:rPr>
        <w:t>Follow-on Investment</w:t>
      </w:r>
      <w:r>
        <w:rPr>
          <w:rFonts w:ascii="Arial" w:cs="Arial" w:eastAsia="Arial" w:hAnsi="Arial"/>
          <w:sz w:val="16"/>
          <w:szCs w:val="16"/>
          <w:color w:val="auto"/>
        </w:rPr>
        <w:t xml:space="preserve">”), AMG shall cause the General Partner to (a) increase the Series C Percentage applicable to the Applicable Holding Company and the Series C Participation Threshold applicable to such Applicable AMG Affiliate as equitable and appropriate to take into account such Follow-on Investment (for such purposes, treating the Partnership’s economic interest in a Follow-on Investment commensurate with a New Investment), and (b) update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to reflect such adjustments.</w:t>
      </w:r>
    </w:p>
    <w:p>
      <w:pPr>
        <w:spacing w:after="0" w:line="154"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Withdrawal of the Initial Limited Partner</w:t>
      </w:r>
      <w:r>
        <w:rPr>
          <w:rFonts w:ascii="Arial" w:cs="Arial" w:eastAsia="Arial" w:hAnsi="Arial"/>
          <w:sz w:val="17"/>
          <w:szCs w:val="17"/>
          <w:color w:val="auto"/>
        </w:rPr>
        <w:t>. Notwithstanding anything to the contrary in this Agreement, the parties hereto acknowledge and agree that LTEIP LP Holdings, LLC (the “</w:t>
      </w:r>
      <w:r>
        <w:rPr>
          <w:rFonts w:ascii="Arial" w:cs="Arial" w:eastAsia="Arial" w:hAnsi="Arial"/>
          <w:sz w:val="17"/>
          <w:szCs w:val="17"/>
          <w:u w:val="single" w:color="auto"/>
          <w:color w:val="auto"/>
        </w:rPr>
        <w:t>Initial Limited Partner</w:t>
      </w:r>
      <w:r>
        <w:rPr>
          <w:rFonts w:ascii="Arial" w:cs="Arial" w:eastAsia="Arial" w:hAnsi="Arial"/>
          <w:sz w:val="17"/>
          <w:szCs w:val="17"/>
          <w:color w:val="auto"/>
        </w:rPr>
        <w:t>”) hereby withdraws as a Partner as of the Effective Time.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 - MANAGEMENT OF THE PARTNERSHIP.</w:t>
      </w:r>
    </w:p>
    <w:p>
      <w:pPr>
        <w:spacing w:after="0" w:line="22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Partner</w:t>
      </w:r>
      <w:r>
        <w:rPr>
          <w:rFonts w:ascii="Arial" w:cs="Arial" w:eastAsia="Arial" w:hAnsi="Arial"/>
          <w:sz w:val="16"/>
          <w:szCs w:val="16"/>
          <w:color w:val="auto"/>
        </w:rPr>
        <w:t xml:space="preserve">. Subject to the other provisions contained herein, the management and control of the business of the Partnership shall be vested exclusively in the General Partner, and the General Partner shall have exclusive power and authority, in the name of and on behalf of the Partnership, to perform all acts and do all things which, in its sole discretion, it deems necessary or desirable to conduct the business of the Partnership, without the vote or consent of the Partners in their capacity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a Supermajority Limited Partner Vote, following the Effective Time, the Partnership shall not: (a) merge or consolidate with any other Person, or sell all or substantially all of its assets; (b) sell, transfer or otherwise dispose of all or any portion of its ownership interests in any Applicable Holding Company (other than sales, transfers or dispositions to third party purchasers for fair market value consideration and in which AMG also sells, transfers or disposes of its interest in such Applicable Holding Company);</w:t>
      </w:r>
    </w:p>
    <w:p>
      <w:pPr>
        <w:spacing w:after="0" w:line="3" w:lineRule="exact"/>
        <w:rPr>
          <w:sz w:val="20"/>
          <w:szCs w:val="20"/>
          <w:color w:val="auto"/>
        </w:rPr>
      </w:pPr>
    </w:p>
    <w:p>
      <w:pPr>
        <w:ind w:right="60" w:firstLine="8"/>
        <w:spacing w:after="0" w:line="292" w:lineRule="auto"/>
        <w:tabs>
          <w:tab w:leader="none" w:pos="2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agree to amend, modify or terminate any constituent or other governing documents of any Applicable Holding Company (other than (i) as provided in this Agreement, or (ii) amendments and modifications which would not adversely impact the rights, obligations, powers or preferences of the Partnership or the Limited Partners); (d) authorize or issue any equity or ownership interests or other securities of any type of the Partnership; (e) create, incur, assume or suffer to exist any Indebtedness; or (f) vote in favor of, or otherwise approve, in its capacity as shareholder or equityholder of any Applicable Holding Company, any action which would adversely impact the rights, obligations, powers or preferences of the Partnership or the Limited Partners.</w:t>
      </w:r>
    </w:p>
    <w:p>
      <w:pPr>
        <w:spacing w:after="0" w:line="163"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Limited Partners</w:t>
      </w:r>
      <w:r>
        <w:rPr>
          <w:rFonts w:ascii="Arial" w:cs="Arial" w:eastAsia="Arial" w:hAnsi="Arial"/>
          <w:sz w:val="18"/>
          <w:szCs w:val="18"/>
          <w:color w:val="auto"/>
        </w:rPr>
        <w:t>. Except as specifically provided in this Agreement, Limited Partners, in their capacity as such, shall have no right to amend or terminate this Agreement or to appoint, select, vote for or remove the General Partner or its agents, or to exercise voting rights or call a meeting of the Partners.</w:t>
      </w:r>
    </w:p>
    <w:p>
      <w:pPr>
        <w:spacing w:after="0" w:line="18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ARTICLE IV - CAPITAL ACCOUNTS; ALLOCATIONS AND DISTRIBUTIONS.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Capital Accounts</w:t>
      </w:r>
      <w:r>
        <w:rPr>
          <w:rFonts w:ascii="Arial" w:cs="Arial" w:eastAsia="Arial" w:hAnsi="Arial"/>
          <w:sz w:val="16"/>
          <w:szCs w:val="16"/>
          <w:color w:val="auto"/>
        </w:rPr>
        <w:t>.</w:t>
      </w:r>
    </w:p>
    <w:p>
      <w:pPr>
        <w:spacing w:after="0" w:line="225" w:lineRule="exact"/>
        <w:rPr>
          <w:sz w:val="20"/>
          <w:szCs w:val="20"/>
          <w:color w:val="auto"/>
        </w:rPr>
      </w:pPr>
    </w:p>
    <w:p>
      <w:pPr>
        <w:ind w:left="5660" w:right="4140" w:hanging="4193"/>
        <w:spacing w:after="0" w:line="528" w:lineRule="auto"/>
        <w:tabs>
          <w:tab w:leader="none" w:pos="19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shall be established for each Partner a Capital Account. No Partner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80" w:right="120"/>
        <w:spacing w:after="0" w:line="312" w:lineRule="auto"/>
        <w:rPr>
          <w:sz w:val="20"/>
          <w:szCs w:val="20"/>
          <w:color w:val="auto"/>
        </w:rPr>
      </w:pPr>
      <w:r>
        <w:rPr>
          <w:rFonts w:ascii="Arial" w:cs="Arial" w:eastAsia="Arial" w:hAnsi="Arial"/>
          <w:sz w:val="16"/>
          <w:szCs w:val="16"/>
          <w:color w:val="auto"/>
        </w:rPr>
        <w:t>shall have the right to withdraw any part of his, her or its (including his, her or its predecessor’s in interest) Capital Account until the dissolution and winding up of the Partnership, except as distributions pursuant to this Article IV may represent returns of capital, in whole or in part. No Partner shall be entitled to receive any interest on any Capital Account balance. No Partner shall have any personal liability for the repayment of any Capital Contribution</w:t>
      </w:r>
    </w:p>
    <w:p>
      <w:pPr>
        <w:sectPr>
          <w:pgSz w:w="11900" w:h="16952" w:orient="portrait"/>
          <w:cols w:equalWidth="0" w:num="1">
            <w:col w:w="11420"/>
          </w:cols>
          <w:pgMar w:left="240" w:top="125" w:right="239" w:bottom="0" w:gutter="0" w:footer="0" w:header="0"/>
        </w:sectPr>
      </w:pPr>
    </w:p>
    <w:bookmarkStart w:id="98" w:name="page99"/>
    <w:bookmarkEnd w:id="98"/>
    <w:p>
      <w:pPr>
        <w:spacing w:after="0" w:line="11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of any other Partner. Except as specifically set forth herein or as may be required under applicable law, the Partners shall not be required to make any further contributions to the Partnership. No Partner shall make any contribution to the Partnership without the prior consent of the General Partner.</w:t>
      </w:r>
    </w:p>
    <w:p>
      <w:pPr>
        <w:spacing w:after="0" w:line="124" w:lineRule="exact"/>
        <w:rPr>
          <w:sz w:val="20"/>
          <w:szCs w:val="20"/>
          <w:color w:val="auto"/>
        </w:rPr>
      </w:pPr>
    </w:p>
    <w:p>
      <w:pPr>
        <w:ind w:right="20" w:firstLine="1287"/>
        <w:spacing w:after="0" w:line="297" w:lineRule="auto"/>
        <w:tabs>
          <w:tab w:leader="none" w:pos="179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Capital Account of each Partner shall be increased by such Partner’s allocable share of income and gain, if any, of the Partnership (as well as the Capital Contributions made by a Partner after the Effective Time), and shall be decreased by such Partner’s allocable share of deductions and losses, if any, of the Partnership, and by the amount of all distributions made to such Partner. The amount of any distribution of assets other than cash shall be deemed to be the Fair Market Value of such assets (net of any liabilities encumbering such property that the distributee Partner is considered to assume or take subject to). Capital Accounts may also be adjusted upon the Transfer of Partnership Interests as set forth in Section 5.2(b).</w:t>
      </w:r>
    </w:p>
    <w:p>
      <w:pPr>
        <w:spacing w:after="0" w:line="158" w:lineRule="exact"/>
        <w:rPr>
          <w:sz w:val="20"/>
          <w:szCs w:val="20"/>
          <w:color w:val="auto"/>
        </w:rPr>
      </w:pPr>
    </w:p>
    <w:p>
      <w:pPr>
        <w:ind w:left="480"/>
        <w:spacing w:after="0"/>
        <w:tabs>
          <w:tab w:leader="none" w:pos="17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7"/>
          <w:szCs w:val="17"/>
          <w:u w:val="single" w:color="auto"/>
          <w:color w:val="auto"/>
        </w:rPr>
        <w:t>Allocations</w:t>
      </w:r>
      <w:r>
        <w:rPr>
          <w:rFonts w:ascii="Arial" w:cs="Arial" w:eastAsia="Arial" w:hAnsi="Arial"/>
          <w:sz w:val="17"/>
          <w:szCs w:val="17"/>
          <w:color w:val="auto"/>
        </w:rPr>
        <w:t>.</w:t>
      </w:r>
    </w:p>
    <w:p>
      <w:pPr>
        <w:spacing w:after="0" w:line="225" w:lineRule="exact"/>
        <w:rPr>
          <w:sz w:val="20"/>
          <w:szCs w:val="20"/>
          <w:color w:val="auto"/>
        </w:rPr>
      </w:pPr>
    </w:p>
    <w:p>
      <w:pPr>
        <w:ind w:right="100" w:firstLine="1287"/>
        <w:spacing w:after="0" w:line="264" w:lineRule="auto"/>
        <w:tabs>
          <w:tab w:leader="none" w:pos="17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Sections 4.2(c), 4.5 and 5.3, all items of Partnership income and gain shall be allocated among the Partners’ Capital Accounts at the end of every calendar quarter in accordance with (and in proportion to) each such Partner’s respective number of Partnership Points on the first day of such quarter.</w:t>
      </w:r>
    </w:p>
    <w:p>
      <w:pPr>
        <w:spacing w:after="0" w:line="181" w:lineRule="exact"/>
        <w:rPr>
          <w:rFonts w:ascii="Arial" w:cs="Arial" w:eastAsia="Arial" w:hAnsi="Arial"/>
          <w:sz w:val="18"/>
          <w:szCs w:val="18"/>
          <w:color w:val="auto"/>
        </w:rPr>
      </w:pPr>
    </w:p>
    <w:p>
      <w:pPr>
        <w:ind w:right="20" w:firstLine="1287"/>
        <w:spacing w:after="0" w:line="259" w:lineRule="auto"/>
        <w:tabs>
          <w:tab w:leader="none" w:pos="17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Subject to Sections 4.2(d), 4.2(e), 4.5 and 5.3, all items of Partnership loss and deduction shall be allocated among the Partners’ Capital Accounts at the end of every calendar quarter in accordance with (and in proportion to) each such Partner’s respective number of Partnership Points on the first day of such quarter; </w:t>
      </w:r>
      <w:r>
        <w:rPr>
          <w:rFonts w:ascii="Arial" w:cs="Arial" w:eastAsia="Arial" w:hAnsi="Arial"/>
          <w:sz w:val="18"/>
          <w:szCs w:val="18"/>
          <w:u w:val="single" w:color="auto"/>
          <w:color w:val="auto"/>
        </w:rPr>
        <w:t>provided</w:t>
      </w:r>
      <w:r>
        <w:rPr>
          <w:rFonts w:ascii="Arial" w:cs="Arial" w:eastAsia="Arial" w:hAnsi="Arial"/>
          <w:sz w:val="18"/>
          <w:szCs w:val="18"/>
          <w:color w:val="auto"/>
        </w:rPr>
        <w:t>, that no additional losses shall be allocated to a Partner once its Capital Account has been reduced to zero (0), unless all Partners’ Capital Accounts have then been reduced to zero (0).</w:t>
      </w:r>
    </w:p>
    <w:p>
      <w:pPr>
        <w:spacing w:after="0" w:line="186" w:lineRule="exact"/>
        <w:rPr>
          <w:rFonts w:ascii="Arial" w:cs="Arial" w:eastAsia="Arial" w:hAnsi="Arial"/>
          <w:sz w:val="18"/>
          <w:szCs w:val="18"/>
          <w:color w:val="auto"/>
        </w:rPr>
      </w:pPr>
    </w:p>
    <w:p>
      <w:pPr>
        <w:jc w:val="both"/>
        <w:ind w:right="160" w:firstLine="1287"/>
        <w:spacing w:after="0" w:line="312" w:lineRule="auto"/>
        <w:tabs>
          <w:tab w:leader="none" w:pos="17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Partnership has any Capital Surplus from the sale, exchange or disposition of an asset of the Partnership (including a direct ownership interest in any Applicable Holding Company held by the Partnership), then that Capital Surplus shall be allocated among the Partners’ Capital Accounts in accordance with (and in proportion to) each such Partner’s respective number of Partnership Points as of the effective date of the transaction.</w:t>
      </w:r>
    </w:p>
    <w:p>
      <w:pPr>
        <w:spacing w:after="0" w:line="146" w:lineRule="exact"/>
        <w:rPr>
          <w:rFonts w:ascii="Arial" w:cs="Arial" w:eastAsia="Arial" w:hAnsi="Arial"/>
          <w:sz w:val="16"/>
          <w:szCs w:val="16"/>
          <w:color w:val="auto"/>
        </w:rPr>
      </w:pPr>
    </w:p>
    <w:p>
      <w:pPr>
        <w:ind w:right="160" w:firstLine="1287"/>
        <w:spacing w:after="0" w:line="257" w:lineRule="auto"/>
        <w:tabs>
          <w:tab w:leader="none" w:pos="17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If the Partnership has any Capital Loss from the sale, exchange or disposition of an asset of the Partnership (including a direct ownership interest in any Applicable Holding Company held by the Partnership), then that Capital Loss shall be allocated among the Partners’ Capital Accounts in accordance with (and in proportion to) each such Partner’s respective number of Partnership Points as of the effective date of the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 additional losses shall be allocated to a Partner once its Capital Account has been reduced to zero (0), unless all Partners’ Capital Accounts have then been reduced to zero</w:t>
      </w:r>
    </w:p>
    <w:p>
      <w:pPr>
        <w:spacing w:after="0" w:line="18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jc w:val="both"/>
        <w:ind w:right="260" w:firstLine="1287"/>
        <w:spacing w:after="0" w:line="279" w:lineRule="auto"/>
        <w:tabs>
          <w:tab w:leader="none" w:pos="179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the extent that a Transfer of Partnership Interests from any Limited Partner is deemed, under GAAP, to be compensation granted to the transferee (the amount of such compensation under GAAP, a “</w:t>
      </w:r>
      <w:r>
        <w:rPr>
          <w:rFonts w:ascii="Arial" w:cs="Arial" w:eastAsia="Arial" w:hAnsi="Arial"/>
          <w:sz w:val="17"/>
          <w:szCs w:val="17"/>
          <w:u w:val="single" w:color="auto"/>
          <w:color w:val="auto"/>
        </w:rPr>
        <w:t>Compensation Expense</w:t>
      </w:r>
      <w:r>
        <w:rPr>
          <w:rFonts w:ascii="Arial" w:cs="Arial" w:eastAsia="Arial" w:hAnsi="Arial"/>
          <w:sz w:val="17"/>
          <w:szCs w:val="17"/>
          <w:color w:val="auto"/>
        </w:rPr>
        <w:t>”) and a contribution by the transferring Limited Partner, such Limited Partner’s Capital Account shall (i) immediately prior to such Transfer, be increased by the amount of such Compensation Expense and (ii) immediately after such Transfer, be decreased by the amount of such Compensation Expense.</w:t>
      </w:r>
    </w:p>
    <w:p>
      <w:pPr>
        <w:spacing w:after="0" w:line="171" w:lineRule="exact"/>
        <w:rPr>
          <w:sz w:val="20"/>
          <w:szCs w:val="20"/>
          <w:color w:val="auto"/>
        </w:rPr>
      </w:pPr>
    </w:p>
    <w:p>
      <w:pPr>
        <w:ind w:left="480"/>
        <w:spacing w:after="0"/>
        <w:tabs>
          <w:tab w:leader="none" w:pos="17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1287"/>
        <w:spacing w:after="0" w:line="279" w:lineRule="auto"/>
        <w:tabs>
          <w:tab w:leader="none" w:pos="1793"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Subject to Section 4.4, within thirty (30) days after the end of each calendar quarter, to the extent cash is available thereof at the Partnership, the Partnership shall, based on the unaudited financial statements for such calendar quarter, distribute to each Partner an amount equal to the positive difference resulting from (i) the allocation of income and gain to such Partner pursuant to Section 4.2(a) for such calendar quarter, minus (ii) the allocation of loss and deduction to such Partner pursuant to Section 4.2(b) for such calendar quarter.</w:t>
      </w:r>
    </w:p>
    <w:p>
      <w:pPr>
        <w:spacing w:after="0" w:line="171" w:lineRule="exact"/>
        <w:rPr>
          <w:rFonts w:ascii="Arial" w:cs="Arial" w:eastAsia="Arial" w:hAnsi="Arial"/>
          <w:sz w:val="17"/>
          <w:szCs w:val="17"/>
          <w:color w:val="auto"/>
        </w:rPr>
      </w:pPr>
    </w:p>
    <w:p>
      <w:pPr>
        <w:ind w:firstLine="1287"/>
        <w:spacing w:after="0" w:line="253" w:lineRule="auto"/>
        <w:tabs>
          <w:tab w:leader="none" w:pos="17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Except to the extent distributions are provided for in Section 4.3(a), any other amounts available for distribution to the Partners shall be distributed to the Partners at such times as may be determined by the General Partner (but in any event, the General Partner shall cause the Partnership to distribute to the Partners such amount as is necessary to meet taxation obligations arising from the allocations of income and gain pursuant to this Article IV), provided that any such distribution shall be made among the Partners: (i) if attributable to a sale of all, or a substantial portion (as determined by the General Partner) of the assets of the Partnership, then in the same manner and order as such distribution would have been made under Section 4.4 upon a dissolution; (ii) if attributable to a sale of any such asset other than as described in clause (i), a distribution of the resulting Capital Surplus shall be made in accordance with allocations of Capital Surplus pursuant to Section 4.2(c); and (iii) if attributable other than to a sale described in clause (i) or (ii), then in accordance with (and in proportion to) their respective number of Partnership Points as of the last day of the calendar quarter ending immediately prior to such distribution;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 additional distribution shall be made to a Partner once its Capital Account has been reduced to zero (0).</w:t>
      </w:r>
    </w:p>
    <w:p>
      <w:pPr>
        <w:spacing w:after="0" w:line="194" w:lineRule="exact"/>
        <w:rPr>
          <w:rFonts w:ascii="Arial" w:cs="Arial" w:eastAsia="Arial" w:hAnsi="Arial"/>
          <w:sz w:val="18"/>
          <w:szCs w:val="18"/>
          <w:color w:val="auto"/>
        </w:rPr>
      </w:pPr>
    </w:p>
    <w:p>
      <w:pPr>
        <w:ind w:firstLine="1287"/>
        <w:spacing w:after="0" w:line="342" w:lineRule="auto"/>
        <w:tabs>
          <w:tab w:leader="none" w:pos="1793"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neither the Partnership, nor the General Partner on behalf of the Partnership, shall make a distribution to any Partner on account of its Partnership Interests if such distribution would violate the Act or other applicable law.</w:t>
      </w:r>
    </w:p>
    <w:p>
      <w:pPr>
        <w:spacing w:after="0" w:line="124" w:lineRule="exact"/>
        <w:rPr>
          <w:sz w:val="20"/>
          <w:szCs w:val="20"/>
          <w:color w:val="auto"/>
        </w:rPr>
      </w:pPr>
    </w:p>
    <w:p>
      <w:pPr>
        <w:ind w:left="480"/>
        <w:spacing w:after="0"/>
        <w:tabs>
          <w:tab w:leader="none" w:pos="17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Distributions Upon Dissolution; Establishment of a Reserve Upon Dissolution</w:t>
      </w:r>
      <w:r>
        <w:rPr>
          <w:rFonts w:ascii="Arial" w:cs="Arial" w:eastAsia="Arial" w:hAnsi="Arial"/>
          <w:sz w:val="16"/>
          <w:szCs w:val="16"/>
          <w:color w:val="auto"/>
        </w:rPr>
        <w:t>.</w:t>
      </w:r>
    </w:p>
    <w:p>
      <w:pPr>
        <w:spacing w:after="0" w:line="225" w:lineRule="exact"/>
        <w:rPr>
          <w:sz w:val="20"/>
          <w:szCs w:val="20"/>
          <w:color w:val="auto"/>
        </w:rPr>
      </w:pPr>
    </w:p>
    <w:p>
      <w:pPr>
        <w:ind w:right="120" w:firstLine="1287"/>
        <w:spacing w:after="0" w:line="259" w:lineRule="auto"/>
        <w:tabs>
          <w:tab w:leader="none" w:pos="17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dissolution of the Partnership, after payment (or the making of reasonable provision for the payment) of all liabilities of the Partnership owing to creditors, the General Partner, or if there is none, the Liquidating Trustee appointed as set forth in Section 7.4, shall set up such reserves as it deems reasonably necessary for any contingent, conditional or unmatured liabilities or other obligations of the Partnership. Such reserves may be paid over</w:t>
      </w:r>
    </w:p>
    <w:p>
      <w:pPr>
        <w:spacing w:after="0" w:line="1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by the General Partner or Liquidating Trustee to a bank (or other third party), to be held in escrow for the purpose of paying any such contingent, conditional or unmatured liabilities or other obligations. At the expiration of such period(s) as the General Partner or Liquidating Trustee may deem advisable, such reserves, if any (and any other assets available for distribution), or a portion thereof, shall be distributed to the Partners (following the</w:t>
      </w:r>
    </w:p>
    <w:p>
      <w:pPr>
        <w:sectPr>
          <w:pgSz w:w="11900" w:h="16952" w:orient="portrait"/>
          <w:cols w:equalWidth="0" w:num="1">
            <w:col w:w="11220"/>
          </w:cols>
          <w:pgMar w:left="420" w:top="125" w:right="259" w:bottom="0" w:gutter="0" w:footer="0" w:header="0"/>
        </w:sectPr>
      </w:pPr>
    </w:p>
    <w:bookmarkStart w:id="99" w:name="page100"/>
    <w:bookmarkEnd w:id="99"/>
    <w:p>
      <w:pPr>
        <w:spacing w:after="0" w:line="69" w:lineRule="exact"/>
        <w:rPr>
          <w:sz w:val="20"/>
          <w:szCs w:val="20"/>
          <w:color w:val="auto"/>
        </w:rPr>
      </w:pPr>
    </w:p>
    <w:p>
      <w:pPr>
        <w:ind w:left="180" w:right="240"/>
        <w:spacing w:after="0" w:line="308" w:lineRule="auto"/>
        <w:rPr>
          <w:sz w:val="20"/>
          <w:szCs w:val="20"/>
          <w:color w:val="auto"/>
        </w:rPr>
      </w:pPr>
      <w:r>
        <w:rPr>
          <w:rFonts w:ascii="Arial" w:cs="Arial" w:eastAsia="Arial" w:hAnsi="Arial"/>
          <w:sz w:val="17"/>
          <w:szCs w:val="17"/>
          <w:color w:val="auto"/>
        </w:rPr>
        <w:t>allocation to the Partners’ Capital Accounts of any income, gain, loss, deduction, Capital Surplus or Capital Loss in the manner provided in Section 4.2) among the Partners in accordance with (and in proportion to) their respective Capital Accounts as of the date of dissolution.</w:t>
      </w:r>
    </w:p>
    <w:p>
      <w:pPr>
        <w:spacing w:after="0" w:line="147" w:lineRule="exact"/>
        <w:rPr>
          <w:sz w:val="20"/>
          <w:szCs w:val="20"/>
          <w:color w:val="auto"/>
        </w:rPr>
      </w:pPr>
    </w:p>
    <w:p>
      <w:pPr>
        <w:ind w:left="180" w:firstLine="1287"/>
        <w:spacing w:after="0" w:line="297" w:lineRule="auto"/>
        <w:tabs>
          <w:tab w:leader="none" w:pos="197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any assets of the Partnership are to be distributed in kind in connection with such liquidation, such assets shall be distributed on the basis of their Fair Market Value net of any liabilities encumbering such assets and, to the greatest extent possible, shall be distributed pro rata in accordance with the total amounts to be distributed to each Partner. Immediately prior to the effectiveness of any such distribution in kind, each item of gain and loss that would have been recognized by the Partnership had the property being distributed been sold at Fair Market Value shall be determined and allocated to those persons who were Partners immediately prior to the effectiveness of such distribution in accordance with Sections 4.2(c) and 4.2(d).</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Certain Special Allocations; Proceeds from Capital Contributions</w:t>
      </w:r>
      <w:r>
        <w:rPr>
          <w:rFonts w:ascii="Arial" w:cs="Arial" w:eastAsia="Arial" w:hAnsi="Arial"/>
          <w:sz w:val="16"/>
          <w:szCs w:val="16"/>
          <w:color w:val="auto"/>
        </w:rPr>
        <w:t>.</w:t>
      </w:r>
    </w:p>
    <w:p>
      <w:pPr>
        <w:spacing w:after="0" w:line="225" w:lineRule="exact"/>
        <w:rPr>
          <w:sz w:val="20"/>
          <w:szCs w:val="20"/>
          <w:color w:val="auto"/>
        </w:rPr>
      </w:pPr>
    </w:p>
    <w:p>
      <w:pPr>
        <w:ind w:left="180" w:firstLine="1287"/>
        <w:spacing w:after="0" w:line="254" w:lineRule="auto"/>
        <w:tabs>
          <w:tab w:leader="none" w:pos="19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any other provision in this Article IV, if there is a net decrease in Partnership Minimum Gain or Partner Nonrecourse Debt Minimum Gain (determined in accordance with the principles of U.S. Treasury Regulations Sections 1.704-2(d) and 1.704-2(i)) during any taxable year, the Partners shall be specially allocated items of Partnership income and gain for such year (and, if necessary, subsequent years) in an amount equal to their respective shares of such net decrease during such year, determined pursuant to U.S. Treasury Regulations Sections 1.704-2(g)(2) and 1.704-2(i)(5). The items to be so allocated shall be determined in accordance with U.S. Treasury Regulations Section 1.704-2(f). This Section 4.5(a) is intended to comply with the minimum gain chargeback requirements in such U.S. Treasury Regulations Sections and shall be interpreted consistently therewith; including that no chargeback shall be required to the extent of the exceptions provided in U.S. Treasury Regulations Sections 1.704-2(f) and 1.704-2(i)(4).</w:t>
      </w:r>
    </w:p>
    <w:p>
      <w:pPr>
        <w:spacing w:after="0" w:line="192" w:lineRule="exact"/>
        <w:rPr>
          <w:rFonts w:ascii="Arial" w:cs="Arial" w:eastAsia="Arial" w:hAnsi="Arial"/>
          <w:sz w:val="18"/>
          <w:szCs w:val="18"/>
          <w:color w:val="auto"/>
        </w:rPr>
      </w:pPr>
    </w:p>
    <w:p>
      <w:pPr>
        <w:ind w:left="180" w:right="180" w:firstLine="1287"/>
        <w:spacing w:after="0" w:line="312" w:lineRule="auto"/>
        <w:tabs>
          <w:tab w:leader="none" w:pos="197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event any Partner unexpectedly receives any adjustments, allocations, or distributions described in U.S. Treasury Regulations Section 1.704-1(b)(2)(ii)(d)(4), (5) or (6), items of Partnership income and gain shall be specially allocated to such Partner in an amount and manner sufficient to eliminate the deficit balance in his Capital Account created by such adjustments, allocations or distributions as promptly as possible.</w:t>
      </w:r>
    </w:p>
    <w:p>
      <w:pPr>
        <w:spacing w:after="0" w:line="146" w:lineRule="exact"/>
        <w:rPr>
          <w:rFonts w:ascii="Arial" w:cs="Arial" w:eastAsia="Arial" w:hAnsi="Arial"/>
          <w:sz w:val="16"/>
          <w:szCs w:val="16"/>
          <w:color w:val="auto"/>
        </w:rPr>
      </w:pPr>
    </w:p>
    <w:p>
      <w:pPr>
        <w:ind w:left="180" w:right="120" w:firstLine="1287"/>
        <w:spacing w:after="0" w:line="257" w:lineRule="auto"/>
        <w:tabs>
          <w:tab w:leader="none" w:pos="19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event any Partner has a deficit Capital Account at the end of any fiscal year which is in excess of the sum of (i) the amount such Partner is obligated to restore, if any, pursuant to any provision of this Agreement, and (ii) the amount such Partner is deemed to be obligated to restore pursuant to the penultimate sentences of U.S. Treasury Regulations Section 1.704-2(g)(1) and 1.704-2(i)(5), each such Partner shall be specially allocated items of Partnership income and gain in the amount of such excess as quickly as possible, provided that an allocation pursuant to this Section 4.5(c) shall be made only if and to the extent that 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color w:val="auto"/>
        </w:rPr>
        <w:t>Partner would have a deficit Capital Account in excess of such sum after all other allocations provided for in this Article IV have been tentatively made as if Section 4.5(b) and this Section 4.5(c) were not in this Agreement.</w:t>
      </w:r>
    </w:p>
    <w:p>
      <w:pPr>
        <w:spacing w:after="0" w:line="170" w:lineRule="exact"/>
        <w:rPr>
          <w:sz w:val="20"/>
          <w:szCs w:val="20"/>
          <w:color w:val="auto"/>
        </w:rPr>
      </w:pPr>
    </w:p>
    <w:p>
      <w:pPr>
        <w:ind w:left="1960" w:hanging="493"/>
        <w:spacing w:after="0"/>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Partner Nonrecourse Deductions shall be allocated among the Partners in accordance with their respective numbers of Partnership</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Points.</w:t>
      </w:r>
    </w:p>
    <w:p>
      <w:pPr>
        <w:spacing w:after="0" w:line="211" w:lineRule="exact"/>
        <w:rPr>
          <w:sz w:val="20"/>
          <w:szCs w:val="20"/>
          <w:color w:val="auto"/>
        </w:rPr>
      </w:pPr>
    </w:p>
    <w:p>
      <w:pPr>
        <w:ind w:left="180" w:right="140" w:firstLine="1287"/>
        <w:spacing w:after="0" w:line="342" w:lineRule="auto"/>
        <w:tabs>
          <w:tab w:leader="none" w:pos="19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Partner Nonrecourse Deductions for any taxable period shall be allocated to the Partner who bears the economic risk of loss with respect to the liability to which such Partner Nonrecourse Deductions are attributable in accordance with U.S. Treasury Regulations Section 1.704-2(j).</w:t>
      </w:r>
    </w:p>
    <w:p>
      <w:pPr>
        <w:spacing w:after="0" w:line="123" w:lineRule="exact"/>
        <w:rPr>
          <w:rFonts w:ascii="Arial" w:cs="Arial" w:eastAsia="Arial" w:hAnsi="Arial"/>
          <w:sz w:val="16"/>
          <w:szCs w:val="16"/>
          <w:color w:val="auto"/>
        </w:rPr>
      </w:pPr>
    </w:p>
    <w:p>
      <w:pPr>
        <w:ind w:left="180" w:right="60" w:firstLine="1287"/>
        <w:spacing w:after="0" w:line="269" w:lineRule="auto"/>
        <w:tabs>
          <w:tab w:leader="none" w:pos="1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allocations set forth in Sections 4.5(a), (b), (c), (d) and (e) (the “</w:t>
      </w:r>
      <w:r>
        <w:rPr>
          <w:rFonts w:ascii="Arial" w:cs="Arial" w:eastAsia="Arial" w:hAnsi="Arial"/>
          <w:sz w:val="17"/>
          <w:szCs w:val="17"/>
          <w:u w:val="single" w:color="auto"/>
          <w:color w:val="auto"/>
        </w:rPr>
        <w:t>Regulatory Allocations</w:t>
      </w:r>
      <w:r>
        <w:rPr>
          <w:rFonts w:ascii="Arial" w:cs="Arial" w:eastAsia="Arial" w:hAnsi="Arial"/>
          <w:sz w:val="17"/>
          <w:szCs w:val="17"/>
          <w:color w:val="auto"/>
        </w:rPr>
        <w:t>”) are intended to comply with certain requirements of the U.S. Treasury Regulations. It is the intent of the Partners that, to the extent possible, all Regulatory Allocations shall be offset either with other Regulatory Allocations or with special allocations of other items of Partnership income, gain, loss or deduction pursuant to this Section 4.5(f), and to the extent Regulatory Allocations are necessary, it is the intent of the Partners that they be made in as consistent a manner with the provisions of Section 4.2 as practicable, subject to compliance with the U.S. Treasury Regulations. Therefore, notwithstanding any other provision of this Article IV (other than the Regulatory Allocations), the General Partner shall make such offsetting special allocations of Partnership income, gain, loss or deduction in whatever manner it determines appropriate so that, after such offsetting allocations are made, each Partner’s Capital Account and net allocations are, to the extent possible, equal to the Capital Account balance and net allocation such Partner would have had if the Regulatory Allocations were not a part of this Agreement and all Partnership items were allocated pursuant to Section 4.2. In exercising its discretion under this Section 4.5(f), the General Partner shall take into account future Regulatory Allocations under Section 4.5(a) that, although not yet made, are likely to offset other Regulatory Allocations previously made under Sections 4.5(d) and (e).</w:t>
      </w:r>
    </w:p>
    <w:p>
      <w:pPr>
        <w:spacing w:after="0" w:line="182" w:lineRule="exact"/>
        <w:rPr>
          <w:rFonts w:ascii="Arial" w:cs="Arial" w:eastAsia="Arial" w:hAnsi="Arial"/>
          <w:sz w:val="17"/>
          <w:szCs w:val="17"/>
          <w:color w:val="auto"/>
        </w:rPr>
      </w:pPr>
    </w:p>
    <w:p>
      <w:pPr>
        <w:ind w:left="180" w:firstLine="1287"/>
        <w:spacing w:after="0" w:line="279" w:lineRule="auto"/>
        <w:tabs>
          <w:tab w:leader="none" w:pos="197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Capital Contributions made by any Partner may, in the sole discretion of the General Partner, be used for the benefit of the Partnership, or, may be distributed by the Partnership, in which case, any such proceeds shall be allocated and distributed among the Partners in accordance with (and in proportion to) their respective Capital Accounts as of immediately prior to such contribution (it being understood that in the case the proceeds are a note receivable, any such distribution shall only occur upon receipt by the Partnership of cash in respect thereof).</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Federal Tax Allocations</w:t>
      </w:r>
      <w:r>
        <w:rPr>
          <w:rFonts w:ascii="Arial" w:cs="Arial" w:eastAsia="Arial" w:hAnsi="Arial"/>
          <w:sz w:val="16"/>
          <w:szCs w:val="16"/>
          <w:color w:val="auto"/>
        </w:rPr>
        <w:t>. The General Partner shall, in its sole discretion, allocate the ordinary income and losses and capital gains and losses of the Partnership as determined for U.S. Federal income tax purposes (and each item of income, gain, loss, deduction or credit entering into the computation thereof), as the case may be, among the Partners for tax purposes in a manner that, to the greatest extent possible: (a) reflects the economic arrangement of the Partners under this Agreement (determined after taking into account the allocation and distribution provisions this Article IV) and (b) is consistent with the principles of Sections 704(b) and 704(c) of the Code. The Partners understand and agree that, with respect to any item 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property (other than cash) contributed (or deemed to be contributed for U.S. federal income tax purposes) by a Partner to the capital of the Partnership, the initial tax basis of such property in the hands of the Partnership will be the same as the tax basis of such property in the hands of such Partner at the time so contributed. The Partners further understand and agree that the taxable income and taxable loss of the Partnership is to be computed for Federal income tax purposes by reference to the initial tax basis to the Partnership of any assets and properties contributed by the Partners (and not by reference to the Fair Market Value of such assets and properties at the time contributed). The Partners also understand that, pursuant to Section 704(c) of the Code, all taxable items of income, gain, loss and deduction with respect to such assets and properties shall be allocated among the Partners for Federal income tax purposes so</w:t>
      </w:r>
    </w:p>
    <w:p>
      <w:pPr>
        <w:sectPr>
          <w:pgSz w:w="11900" w:h="16907" w:orient="portrait"/>
          <w:cols w:equalWidth="0" w:num="1">
            <w:col w:w="11380"/>
          </w:cols>
          <w:pgMar w:left="240" w:top="125" w:right="279" w:bottom="0" w:gutter="0" w:footer="0" w:header="0"/>
        </w:sectPr>
      </w:pPr>
    </w:p>
    <w:bookmarkStart w:id="100" w:name="page101"/>
    <w:bookmarkEnd w:id="100"/>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to take account of any difference between the initial tax basis of such assets and properties to the Partnership and their Fair Market Values at the time contributed, using any method authorized by the Income Tax Regulations under Section 704(c) and selected by the General Partner, in its sole discretion. For purposes of maintaining the Capital Accounts of the Partners, items of income, gain, loss and deduction relating to any asset or property contributed to the Partnership that are required to be allocated for tax purposes pursuant to Section 704(c) of the Code shall not be reflected in the Capital Accounts of the Partners.</w:t>
      </w:r>
    </w:p>
    <w:p>
      <w:pPr>
        <w:spacing w:after="0" w:line="18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Profits Interests</w:t>
      </w:r>
      <w:r>
        <w:rPr>
          <w:rFonts w:ascii="Arial" w:cs="Arial" w:eastAsia="Arial" w:hAnsi="Arial"/>
          <w:sz w:val="16"/>
          <w:szCs w:val="16"/>
          <w:color w:val="auto"/>
        </w:rPr>
        <w:t>. The Partnership Points are intended to constitute “profits interests” within the meaning of Revenue Procedures 93-27, 1993-2 C.B. 343 (June 9, 1993) and 2001-43, 2001-2 C.B. 191 (August 20, 2001) (“</w:t>
      </w:r>
      <w:r>
        <w:rPr>
          <w:rFonts w:ascii="Arial" w:cs="Arial" w:eastAsia="Arial" w:hAnsi="Arial"/>
          <w:sz w:val="16"/>
          <w:szCs w:val="16"/>
          <w:u w:val="single" w:color="auto"/>
          <w:color w:val="auto"/>
        </w:rPr>
        <w:t>Profits Interests</w:t>
      </w:r>
      <w:r>
        <w:rPr>
          <w:rFonts w:ascii="Arial" w:cs="Arial" w:eastAsia="Arial" w:hAnsi="Arial"/>
          <w:sz w:val="16"/>
          <w:szCs w:val="16"/>
          <w:color w:val="auto"/>
        </w:rPr>
        <w:t>”) for federal income tax purposes, and the provisions of this Agreement shall be interpreted in a manner consistent with such intended treatment. The Partnership and each Partner agree to treat the Partnership Points as Profits Interests in accordance with the foregoing intent. The General Partner is authorized to cause the Partnership to make an election to value any Partnership Point at liquidation value (a “</w:t>
      </w:r>
      <w:r>
        <w:rPr>
          <w:rFonts w:ascii="Arial" w:cs="Arial" w:eastAsia="Arial" w:hAnsi="Arial"/>
          <w:sz w:val="16"/>
          <w:szCs w:val="16"/>
          <w:u w:val="single" w:color="auto"/>
          <w:color w:val="auto"/>
        </w:rPr>
        <w:t>Safe Harbor Election</w:t>
      </w:r>
      <w:r>
        <w:rPr>
          <w:rFonts w:ascii="Arial" w:cs="Arial" w:eastAsia="Arial" w:hAnsi="Arial"/>
          <w:sz w:val="16"/>
          <w:szCs w:val="16"/>
          <w:color w:val="auto"/>
        </w:rPr>
        <w:t>”), as the same may be permitted pursuant to or in accordance with the finally promulgated successor rules to Proposed Treasury Regulation Section 1.83-3(l) and IRS Notice 2005-43, 2005-1 C.B. 1221 (May 20, 2005) (collectively, the “</w:t>
      </w:r>
      <w:r>
        <w:rPr>
          <w:rFonts w:ascii="Arial" w:cs="Arial" w:eastAsia="Arial" w:hAnsi="Arial"/>
          <w:sz w:val="16"/>
          <w:szCs w:val="16"/>
          <w:u w:val="single" w:color="auto"/>
          <w:color w:val="auto"/>
        </w:rPr>
        <w:t>Proposed Rules</w:t>
      </w:r>
      <w:r>
        <w:rPr>
          <w:rFonts w:ascii="Arial" w:cs="Arial" w:eastAsia="Arial" w:hAnsi="Arial"/>
          <w:sz w:val="16"/>
          <w:szCs w:val="16"/>
          <w:color w:val="auto"/>
        </w:rPr>
        <w:t>”). Any such Safe Harbor Election shall be binding on the Partnership and on all of its Partners with respect to all transfers of Partnership Points thereafter made by the Partnership while a Safe Harbor Election is in effect. A Safe Harbor Election once made may be revoked by the Partnership as permitted by the Proposed Rules or any applicable rule. The Partnership shall file or cause to be filed all returns, reports and other documentation as may reasonably be required to perfect and maintain the Safe Harbor Election. The General Partner is hereby authorized and empowered, without further vote or action of the Limited Partners to amend the Agreement as necessary to comply with the Proposed Rules or any rule, in order to provide for a Safe Harbor Election and the ability to maintain or revoke the same, and shall have the authority to execute any such amendment by and on behalf of each Limited Partner. Each Partner agrees to use commercially reasonable efforts to cooperate with any reasonable request of the General Partner to perfect and maintain any Safe Harbor Election, and to timely execute and deliver any documentation with respect thereto reasonably requested by the Partnership. Notwithstanding the foregoing, no Covered Person shall be liable to the Partnership, its Controlled Affiliates or any other Covered Person for any loss, damage or claim incurred by reason of any failure of any Partnership Point to be treated as a Profits Interest within the meaning of Revenue Procedure 93-27, 1993-2 C.B. 343 (June 9, 1993), or any other act that may or may not be taken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contemplated by this Section 4.7. In the event that any of the Partnership, the General Partner or any Limited Partner receives written notice from the IRS that the Partnership Points do not constitute Profits Interests for federal income tax purposes, such Person shall promptly provide notice thereof to the General Partner, and the General Partner shall provide notice thereof to each Limited Partner as soon as reasonably practicable thereafter.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 - TRANSFERS; RESIGNATION, REDEMPTION AND WITHDRAWAL.</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Transferability of Partnership Interests</w:t>
      </w:r>
      <w:r>
        <w:rPr>
          <w:rFonts w:ascii="Arial" w:cs="Arial" w:eastAsia="Arial" w:hAnsi="Arial"/>
          <w:sz w:val="18"/>
          <w:szCs w:val="18"/>
          <w:color w:val="auto"/>
        </w:rPr>
        <w:t xml:space="preserve">. No Partnership Interests held by any Partner may be Transferred and no Transfer by a Partner shall be binding upon the Partnership or any Partner, unless, in each case, it is expressly permitted by this Article V and the General Partner receives an executed copy of the documents effecting such Transfer (which shall be in form and substance reasonably satisfactory to the General Partner); </w:t>
      </w:r>
      <w:r>
        <w:rPr>
          <w:rFonts w:ascii="Arial" w:cs="Arial" w:eastAsia="Arial" w:hAnsi="Arial"/>
          <w:sz w:val="18"/>
          <w:szCs w:val="18"/>
          <w:u w:val="single" w:color="auto"/>
          <w:color w:val="auto"/>
        </w:rPr>
        <w:t>provided</w:t>
      </w:r>
      <w:r>
        <w:rPr>
          <w:rFonts w:ascii="Arial" w:cs="Arial" w:eastAsia="Arial" w:hAnsi="Arial"/>
          <w:sz w:val="18"/>
          <w:szCs w:val="18"/>
          <w:color w:val="auto"/>
        </w:rPr>
        <w:t>, that a Change of Control of AMG (and the resulting Change of Control of the General Partner) shall not constitute such a Transfer, regardless of how structured. A Transferee of Partnership Interests may become a substitute Partner only upon the terms and conditions set forth in Section 5.2. If a Transferee of Partnership Interests of a Partner in the Partnership does not become (and until any such Transferee becomes) a substitute Partner in accordance with the provisions of Section 5.2, such Person shall not be entitled to exercise or receive any of the rights, powers or benefits of a Partner other than the right, if any, to receive allocations of profits and losses and distributions which have been Transferred to such Person. No Partner’s Partnership Interests may be Transferred except:</w:t>
      </w:r>
    </w:p>
    <w:p>
      <w:pPr>
        <w:spacing w:after="0" w:line="197" w:lineRule="exact"/>
        <w:rPr>
          <w:sz w:val="20"/>
          <w:szCs w:val="20"/>
          <w:color w:val="auto"/>
        </w:rPr>
      </w:pPr>
    </w:p>
    <w:p>
      <w:pPr>
        <w:jc w:val="both"/>
        <w:ind w:left="180" w:right="600" w:firstLine="1287"/>
        <w:spacing w:after="0" w:line="286" w:lineRule="auto"/>
        <w:tabs>
          <w:tab w:leader="none" w:pos="199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case of a Limited Partner, his or her Partnership Interests may be Transferred (i) with the prior written consent of the General Partner, (ii) in accordance with the provisions of Article VI, (iii) upon the death of such Limited Partner, by will or the laws of descent and distribution, and (iv) to members of his or her Immediate Family (excluding for this purpose, former spouses); and</w:t>
      </w:r>
    </w:p>
    <w:p>
      <w:pPr>
        <w:spacing w:after="0" w:line="165" w:lineRule="exact"/>
        <w:rPr>
          <w:rFonts w:ascii="Arial" w:cs="Arial" w:eastAsia="Arial" w:hAnsi="Arial"/>
          <w:sz w:val="17"/>
          <w:szCs w:val="17"/>
          <w:color w:val="auto"/>
        </w:rPr>
      </w:pPr>
    </w:p>
    <w:p>
      <w:pPr>
        <w:ind w:left="180" w:firstLine="1287"/>
        <w:spacing w:after="0" w:line="254" w:lineRule="auto"/>
        <w:tabs>
          <w:tab w:leader="none" w:pos="20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the General Partner, (i) its Partnership Interests may be Transferred upon a Supermajority Limited Partner Vote, (ii) its Partnership Interests may be Transferred to a Permitted AMG Transferee (provided that immediately upon the transferee ceasing to be a Permitted AMG Transferee, the transferee shall automatically be deemed to have transferred back to the General Partner all of the rights and obligations assigned to it hereunder), (iii) AMG’s and/or any of its Controlled Affiliates’ (including the General Partner’s) direct and indirect interests in the Partnership may be pledged and encumbered, and lien holders of AMG’s and/or any of its Controlled Affiliates’ (including the General Partner’s) Partnership Interests may have and be able to exercise the rights of secured creditors with respect to such interests (including, without limitation, foreclosure on such interests by such Persons), and (iv) its Partnership Points may be Transferred to an existing Limited Partner or to a Person who is not a Limited Partner but who becomes a Limited Partner;</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(x) the Transferee enters into an agreement with the Partnership agreeing to be bound by the provisions hereof, and (y) whether or not the Transferee enters into such an agreement, the Transferred Partnership Interests shall thereafter remain subject to this Agreement to the same extent they would be if held by such Partner.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5"/>
          <w:szCs w:val="15"/>
          <w:u w:val="single" w:color="auto"/>
          <w:color w:val="auto"/>
        </w:rPr>
        <w:t>Substitute Partners</w:t>
      </w:r>
      <w:r>
        <w:rPr>
          <w:rFonts w:ascii="Arial" w:cs="Arial" w:eastAsia="Arial" w:hAnsi="Arial"/>
          <w:sz w:val="15"/>
          <w:szCs w:val="15"/>
          <w:color w:val="auto"/>
        </w:rPr>
        <w:t>.</w:t>
      </w:r>
    </w:p>
    <w:p>
      <w:pPr>
        <w:spacing w:after="0" w:line="225" w:lineRule="exact"/>
        <w:rPr>
          <w:sz w:val="20"/>
          <w:szCs w:val="20"/>
          <w:color w:val="auto"/>
        </w:rPr>
      </w:pPr>
    </w:p>
    <w:p>
      <w:pPr>
        <w:ind w:left="180" w:right="20" w:firstLine="1287"/>
        <w:spacing w:after="0" w:line="257" w:lineRule="auto"/>
        <w:tabs>
          <w:tab w:leader="none" w:pos="1991"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Transferee of Partnership Interests of a Partner shall become a Partner except in accordance with this Section 5.2. The General Partner may admit, in its sole discretion as a substitute Partner (with respect to all or a portion of the Partnership Interests held by a Person), any Person that acquires Partnership Interests by Transfer from another Partner pursuant to Section 5.1. The admission of a Transferee as a substitute Partner shall, in all events, be conditioned upon the execution of an instrument satisfactory to the General Partner whereby such Transferee becomes a party to this Agreement as a Partner.</w:t>
      </w:r>
    </w:p>
    <w:p>
      <w:pPr>
        <w:spacing w:after="0" w:line="188" w:lineRule="exact"/>
        <w:rPr>
          <w:rFonts w:ascii="Arial" w:cs="Arial" w:eastAsia="Arial" w:hAnsi="Arial"/>
          <w:sz w:val="18"/>
          <w:szCs w:val="18"/>
          <w:color w:val="auto"/>
        </w:rPr>
      </w:pPr>
    </w:p>
    <w:p>
      <w:pPr>
        <w:ind w:left="180" w:firstLine="1287"/>
        <w:spacing w:after="0" w:line="312" w:lineRule="auto"/>
        <w:tabs>
          <w:tab w:leader="none" w:pos="2001" w:val="left"/>
        </w:tabs>
        <w:numPr>
          <w:ilvl w:val="0"/>
          <w:numId w:val="74"/>
        </w:numPr>
        <w:rPr>
          <w:rFonts w:ascii="Arial" w:cs="Arial" w:eastAsia="Arial" w:hAnsi="Arial"/>
          <w:sz w:val="16"/>
          <w:szCs w:val="16"/>
          <w:color w:val="auto"/>
        </w:rPr>
      </w:pPr>
      <w:r>
        <w:rPr>
          <w:rFonts w:ascii="Arial" w:cs="Arial" w:eastAsia="Arial" w:hAnsi="Arial"/>
          <w:sz w:val="16"/>
          <w:szCs w:val="16"/>
          <w:color w:val="auto"/>
        </w:rPr>
        <w:t>Immediately prior to the effectiveness of the admission of a Transferee of Partnership Interests of a Partner as a substitute Partner with respect to such Partnership Interests pursuant to the provisions of this Section 5.2, the General Partner may, in its sole discretion, elect to revalue the assets of the Partnership effective immediately prior to such admission. If the General Partner elects to revalue the assets of the Partnership then the Capital</w:t>
      </w:r>
    </w:p>
    <w:p>
      <w:pPr>
        <w:sectPr>
          <w:pgSz w:w="11900" w:h="16952" w:orient="portrait"/>
          <w:cols w:equalWidth="0" w:num="1">
            <w:col w:w="11420"/>
          </w:cols>
          <w:pgMar w:left="240" w:top="125" w:right="239" w:bottom="0" w:gutter="0" w:footer="0" w:header="0"/>
        </w:sectPr>
      </w:pPr>
    </w:p>
    <w:bookmarkStart w:id="101" w:name="page102"/>
    <w:bookmarkEnd w:id="101"/>
    <w:p>
      <w:pPr>
        <w:spacing w:after="0" w:line="96" w:lineRule="exact"/>
        <w:rPr>
          <w:sz w:val="20"/>
          <w:szCs w:val="20"/>
          <w:color w:val="auto"/>
        </w:rPr>
      </w:pPr>
    </w:p>
    <w:p>
      <w:pPr>
        <w:ind w:left="180" w:right="40"/>
        <w:spacing w:after="0" w:line="257" w:lineRule="auto"/>
        <w:rPr>
          <w:sz w:val="20"/>
          <w:szCs w:val="20"/>
          <w:color w:val="auto"/>
        </w:rPr>
      </w:pPr>
      <w:r>
        <w:rPr>
          <w:rFonts w:ascii="Arial" w:cs="Arial" w:eastAsia="Arial" w:hAnsi="Arial"/>
          <w:sz w:val="18"/>
          <w:szCs w:val="18"/>
          <w:color w:val="auto"/>
        </w:rPr>
        <w:t>Accounts of all the Partners shall be adjusted as follows: (i) the General Partner shall determine the proceeds which would be realized if the Partnership sold all its assets immediately prior to the effectiveness of such admission, for a price equal to the Fair Market Value of such assets determined as provided for herein, and (ii) the General Partner shall allocate amounts equal to the net gain or net loss which would have been realized upon such a sale to the Capital Accounts of all the Partners immediately prior to the effectiveness of such admission, in accordance with the provisions of Section 4.2(c) or Section 4.2(d), as applicable.</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Allocations and Distributions as between Transferor and Transferee; Successor to Capital Accounts</w:t>
      </w:r>
      <w:r>
        <w:rPr>
          <w:rFonts w:ascii="Arial" w:cs="Arial" w:eastAsia="Arial" w:hAnsi="Arial"/>
          <w:sz w:val="16"/>
          <w:szCs w:val="16"/>
          <w:color w:val="auto"/>
        </w:rPr>
        <w:t>. Notwithstanding anything to</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the contrary in Section 4.2, in the event of a Transfer of Partnership Interests pursuant to this Agreement, (a) allocations pursuant to Article IV shall be made on a pro-rata basis to those Persons who held such Transferred Partnership Interests during such calendar quarter based upon the respective number of calendar days during such calendar quarter that such Persons held such Partnership Interests prior to and following such Transfer, and (b) distributions pursuant to Article IV shall be made to those Persons who received the corresponding allocations of Partnership income and gain under Article IV. In connection with a Transfer by a Partner of Partnership Points, the Transferee shall succeed to a pro rata (based on the percentage of such Partner’s Partnership Points Transferred) portion of the Transferor’s Capital Account (net of amounts previously allocated but not yet distributed to such Partner hereunder), unless the Transferor and Transferee otherwise agree and so direct the Partnership and the General Partner in a written statement signed by both the Transferor and Transferee and, unless such agreement makes no change other than to reserve to the Transferor all or a portion of distributions pursuant to Article IV, consented to by the General Partner;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 Transfer by the General Partner of Partnership Points, the Transferee shall not succeed to any portion of the General Partner’s Capital Account unless the General Partner otherwise consents.</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Resignation, Redemptions, Withdrawals</w:t>
      </w:r>
      <w:r>
        <w:rPr>
          <w:rFonts w:ascii="Arial" w:cs="Arial" w:eastAsia="Arial" w:hAnsi="Arial"/>
          <w:sz w:val="16"/>
          <w:szCs w:val="16"/>
          <w:color w:val="auto"/>
        </w:rPr>
        <w:t>.</w:t>
      </w:r>
    </w:p>
    <w:p>
      <w:pPr>
        <w:spacing w:after="0" w:line="225" w:lineRule="exact"/>
        <w:rPr>
          <w:sz w:val="20"/>
          <w:szCs w:val="20"/>
          <w:color w:val="auto"/>
        </w:rPr>
      </w:pPr>
    </w:p>
    <w:p>
      <w:pPr>
        <w:ind w:left="180" w:right="120" w:firstLine="1287"/>
        <w:spacing w:after="0" w:line="277" w:lineRule="auto"/>
        <w:tabs>
          <w:tab w:leader="none" w:pos="1991"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Limited Partner shall have the right to resign as a Partner, to cause the redemption of any of its Partnership Interests, in whole or in part, or to withdraw from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line="291" w:lineRule="auto"/>
        <w:rPr>
          <w:sz w:val="20"/>
          <w:szCs w:val="20"/>
          <w:color w:val="auto"/>
        </w:rPr>
      </w:pPr>
      <w:r>
        <w:rPr>
          <w:rFonts w:ascii="Arial" w:cs="Arial" w:eastAsia="Arial" w:hAnsi="Arial"/>
          <w:sz w:val="16"/>
          <w:szCs w:val="16"/>
          <w:color w:val="auto"/>
        </w:rPr>
        <w:t>Partnership, except (i) with the prior written consent of the General Partner, or (ii) as is expressly provided for in Section 2.10 or Article VI. Upon any resignation, redemption or withdrawal, the Limited Partner shall only be entitled to the consideration, if any, provided for in Article VI upon the purchase of its Partnership Interests, if and to the extent such Article provides for such a purchase (and shall in no event be entitled to a withdrawal, redemption or distribution of its Capital Account in whole or in part). If the Partnership Interests acquired from such Limited Partner pursuant to Article VI (together with all Partnership Interests previously acquired from such Limited Partner) constitutes all of the Partnership Interests owned by such Limited Partner prior to such acquisition, such Limited Partner automatically shall be deemed to have withdrawn from the Partnership and shall no longer have any rights under this Agreement, other than the right to receive payments as provided in Article VI if and to the extent such Article so provides.</w:t>
      </w:r>
    </w:p>
    <w:p>
      <w:pPr>
        <w:spacing w:after="0" w:line="167" w:lineRule="exact"/>
        <w:rPr>
          <w:sz w:val="20"/>
          <w:szCs w:val="20"/>
          <w:color w:val="auto"/>
        </w:rPr>
      </w:pPr>
    </w:p>
    <w:p>
      <w:pPr>
        <w:ind w:left="180" w:right="140" w:firstLine="1287"/>
        <w:spacing w:after="0" w:line="297" w:lineRule="auto"/>
        <w:tabs>
          <w:tab w:leader="none" w:pos="20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Without a Supermajority Limited Partner Vote, the General Partner may not resign or withdraw as General Partner or have all or any portion of its interest in the Partnership redeemed. Any resigned, withdrawn or removed General Partner shall retain its interest in the capital of the Partnership and its other economic rights under this Agreement as a Limited Partner having the number of Partnership Points held by the General Partner prior to its resignation, withdrawal or removal. If a General Partner who has resigned, withdrawn or been removed no longer has any economic interest in the Partnership, then upon such resignation, withdrawal or removal such Person shall cease to be a Partner of the Partnership.</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As additional conditions to the validity of any Transfer of a Partner’s Partnership Interests pursuant to Section 5.1, such Transfer shall not: (a) violate the registration provisions of the Securities Act or the securities laws of any applicable jurisdiction, (b) cause the Partnership or any class of its securities to become subject to registration under the Exchange Act, (c) cause the Partnership to become subject to regulation as an “investment company” under the 1940 Act and the rules and regulations of the SEC thereunder, (d) result in the termination of any contract to which any of the Applicable AMG Affiliates is a party and which individually or in the aggregate is material (it being understood that any contract pursuant to which an Applicable AMG Affiliate provides Investment Management Services is material), or (e) result in the treatment of the Partnership as an association taxable as a corporation or as a “publicly traded partnership” for Federal or state income tax purposes. The General Partner may require reasonable evidence as to the foregoing, including, without limitation, a favorable opinion of counsel, which expense shall be borne by the parties to such transaction. To the fullest extent permitted by law, any Transfer that violates the conditions of this Section 5.5 shall be null and void.</w:t>
      </w:r>
    </w:p>
    <w:p>
      <w:pPr>
        <w:spacing w:after="0" w:line="16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Representations of Partners</w:t>
      </w:r>
      <w:r>
        <w:rPr>
          <w:rFonts w:ascii="Arial" w:cs="Arial" w:eastAsia="Arial" w:hAnsi="Arial"/>
          <w:sz w:val="16"/>
          <w:szCs w:val="16"/>
          <w:color w:val="auto"/>
        </w:rPr>
        <w:t>. Each Partner hereby represents and warrants to the Partnership and each other Partner, and acknowledges, that (a) he, she or it has such knowledge and experience in financial and business matters that he, she or it is capable of evaluating the merits and risks of an investment in the Partnership and making an informed investment decision with respect thereto, (b) he, she or it is able to bear the economic and financial risk of an investment in the Partnership for an indefinite period of time, (c) he, she or it is acquiring an interest in the Partnership for investment only and not with a view to, or for resale in connection with, any distribution to the public or public offering thereof, (d) the Partnership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Interests have not been registered under the securities laws of any jurisdiction and cannot be disposed of unless they are subsequently registered and/or qualified under applicable securities laws and the provisions of this Agreement have been complied with, and (e) the execution, delivery and performance of this Agreement by such Partner do not require him, her or it to obtain any consent or approval that has not been obtained and do not contravene or result in a default under any provision of any existing law or regulation applicable to him, her or it, or any agreement or instrument to which he, she or it is a party or by which he, she or it is bound.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 - VESTING; PUTS AND CALLS.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Vesting of Partnership Points</w:t>
      </w:r>
      <w:r>
        <w:rPr>
          <w:rFonts w:ascii="Arial" w:cs="Arial" w:eastAsia="Arial" w:hAnsi="Arial"/>
          <w:sz w:val="16"/>
          <w:szCs w:val="16"/>
          <w:color w:val="auto"/>
        </w:rPr>
        <w:t>. Partnership Points held by a Limited Partner shall vest in accordance with the vesting schedule set</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forth opposite such Limited Partner’s name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(as so vested, the “</w:t>
      </w:r>
      <w:r>
        <w:rPr>
          <w:rFonts w:ascii="Arial" w:cs="Arial" w:eastAsia="Arial" w:hAnsi="Arial"/>
          <w:sz w:val="16"/>
          <w:szCs w:val="16"/>
          <w:u w:val="single" w:color="auto"/>
          <w:color w:val="auto"/>
        </w:rPr>
        <w:t>Vested Points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(x) the death or permanent disability of such Limited Partner, or (y) a Change of Control of AMG, all of such Limited Partner’s Partnership Points shall immediately become Vested Points. At any time, Partnership Points held by a Limited Partner which have not yet vested pursuant to the terms of this Section 6.1, shall be referred to as “</w:t>
      </w:r>
      <w:r>
        <w:rPr>
          <w:rFonts w:ascii="Arial" w:cs="Arial" w:eastAsia="Arial" w:hAnsi="Arial"/>
          <w:sz w:val="16"/>
          <w:szCs w:val="16"/>
          <w:u w:val="single" w:color="auto"/>
          <w:color w:val="auto"/>
        </w:rPr>
        <w:t>Unvested Points</w:t>
      </w:r>
      <w:r>
        <w:rPr>
          <w:rFonts w:ascii="Arial" w:cs="Arial" w:eastAsia="Arial" w:hAnsi="Arial"/>
          <w:sz w:val="16"/>
          <w:szCs w:val="16"/>
          <w:color w:val="auto"/>
        </w:rPr>
        <w:t>.” Notwithstanding the foregoing, the General Partner may in its sole discretion accelerate the vesting of all or any portion of the Unvested Points held by any Limited Partner. For the avoidance of doubt, any Partnership Points held by the General Partner shall be deemed to be Vested Points while held by the General Partner (including, without, limitation, Partnership Points which are forfeited to the General Partner pursuant to Section 6.2).</w:t>
      </w:r>
    </w:p>
    <w:p>
      <w:pPr>
        <w:sectPr>
          <w:pgSz w:w="11900" w:h="16935" w:orient="portrait"/>
          <w:cols w:equalWidth="0" w:num="1">
            <w:col w:w="11420"/>
          </w:cols>
          <w:pgMar w:left="240" w:top="125" w:right="239" w:bottom="0" w:gutter="0" w:footer="0" w:header="0"/>
        </w:sectPr>
      </w:pPr>
    </w:p>
    <w:bookmarkStart w:id="102" w:name="page103"/>
    <w:bookmarkEnd w:id="102"/>
    <w:p>
      <w:pPr>
        <w:ind w:left="480"/>
        <w:spacing w:after="0"/>
        <w:tabs>
          <w:tab w:leader="none" w:pos="18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Forfeiture of Unvested Points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1287"/>
        <w:spacing w:after="0" w:line="259" w:lineRule="auto"/>
        <w:tabs>
          <w:tab w:leader="none" w:pos="18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that the General Partner provides written notice to any Limited Partner that the Partnership shall no longer avail itself of the services provided to the Partnership by such Limited Partner for any reason, such Limited Partner shall forfeit to the General Partner (a “</w:t>
      </w:r>
      <w:r>
        <w:rPr>
          <w:rFonts w:ascii="Arial" w:cs="Arial" w:eastAsia="Arial" w:hAnsi="Arial"/>
          <w:sz w:val="18"/>
          <w:szCs w:val="18"/>
          <w:u w:val="single" w:color="auto"/>
          <w:color w:val="auto"/>
        </w:rPr>
        <w:t>Forfeiture</w:t>
      </w:r>
      <w:r>
        <w:rPr>
          <w:rFonts w:ascii="Arial" w:cs="Arial" w:eastAsia="Arial" w:hAnsi="Arial"/>
          <w:sz w:val="18"/>
          <w:szCs w:val="18"/>
          <w:color w:val="auto"/>
        </w:rPr>
        <w:t>”, and such written notice, a “</w:t>
      </w:r>
      <w:r>
        <w:rPr>
          <w:rFonts w:ascii="Arial" w:cs="Arial" w:eastAsia="Arial" w:hAnsi="Arial"/>
          <w:sz w:val="18"/>
          <w:szCs w:val="18"/>
          <w:u w:val="single" w:color="auto"/>
          <w:color w:val="auto"/>
        </w:rPr>
        <w:t>Forfeiture Notice</w:t>
      </w:r>
      <w:r>
        <w:rPr>
          <w:rFonts w:ascii="Arial" w:cs="Arial" w:eastAsia="Arial" w:hAnsi="Arial"/>
          <w:sz w:val="18"/>
          <w:szCs w:val="18"/>
          <w:color w:val="auto"/>
        </w:rPr>
        <w:t>”) all of the Unvested Points held by such Limited Partner, with no further obligation on the part of the Partnership or any Partner to such Limited Partner with respect thereto.</w:t>
      </w:r>
    </w:p>
    <w:p>
      <w:pPr>
        <w:spacing w:after="0" w:line="186" w:lineRule="exact"/>
        <w:rPr>
          <w:rFonts w:ascii="Arial" w:cs="Arial" w:eastAsia="Arial" w:hAnsi="Arial"/>
          <w:sz w:val="18"/>
          <w:szCs w:val="18"/>
          <w:color w:val="auto"/>
        </w:rPr>
      </w:pPr>
    </w:p>
    <w:p>
      <w:pPr>
        <w:jc w:val="both"/>
        <w:ind w:firstLine="1287"/>
        <w:spacing w:after="0" w:line="302" w:lineRule="auto"/>
        <w:tabs>
          <w:tab w:leader="none" w:pos="1821"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Without any action on the part of any of the Partnership, such Limited Partner or any other Partner, the closing of any Forfeiture shall take place immediately and automatically upon the delivery of such Forfeiture Notice. Upon any Forfeiture, the General Partner shall be deemed to have acquired all of the Unvested Points of such Limited Partner (including the entire Partnership Interest with respect thereto). Such Limited Partner shall, upon such Forfeiture, cease to have any rights hereunder in respect of such Unvested Points and the related Partnership Interest.</w:t>
      </w:r>
    </w:p>
    <w:p>
      <w:pPr>
        <w:spacing w:after="0" w:line="154" w:lineRule="exact"/>
        <w:rPr>
          <w:sz w:val="20"/>
          <w:szCs w:val="20"/>
          <w:color w:val="auto"/>
        </w:rPr>
      </w:pPr>
    </w:p>
    <w:p>
      <w:pPr>
        <w:ind w:left="480"/>
        <w:spacing w:after="0"/>
        <w:tabs>
          <w:tab w:leader="none" w:pos="186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Fair Value Determination</w:t>
      </w:r>
      <w:r>
        <w:rPr>
          <w:rFonts w:ascii="Arial" w:cs="Arial" w:eastAsia="Arial" w:hAnsi="Arial"/>
          <w:sz w:val="16"/>
          <w:szCs w:val="16"/>
          <w:color w:val="auto"/>
        </w:rPr>
        <w:t>.</w:t>
      </w:r>
    </w:p>
    <w:p>
      <w:pPr>
        <w:spacing w:after="0" w:line="225" w:lineRule="exact"/>
        <w:rPr>
          <w:sz w:val="20"/>
          <w:szCs w:val="20"/>
          <w:color w:val="auto"/>
        </w:rPr>
      </w:pPr>
    </w:p>
    <w:p>
      <w:pPr>
        <w:ind w:right="180" w:firstLine="1287"/>
        <w:spacing w:after="0" w:line="216" w:lineRule="auto"/>
        <w:tabs>
          <w:tab w:leader="none" w:pos="18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General Partner shall (i) no later than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calendar year, determine the fair value (“</w:t>
      </w:r>
      <w:r>
        <w:rPr>
          <w:rFonts w:ascii="Arial" w:cs="Arial" w:eastAsia="Arial" w:hAnsi="Arial"/>
          <w:sz w:val="18"/>
          <w:szCs w:val="18"/>
          <w:u w:val="single" w:color="auto"/>
          <w:color w:val="auto"/>
        </w:rPr>
        <w:t>Fair Value</w:t>
      </w:r>
      <w:r>
        <w:rPr>
          <w:rFonts w:ascii="Arial" w:cs="Arial" w:eastAsia="Arial" w:hAnsi="Arial"/>
          <w:sz w:val="18"/>
          <w:szCs w:val="18"/>
          <w:color w:val="auto"/>
        </w:rPr>
        <w:t>”), as of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preceding calendar year, of the Partnership Points held by each Limited Partner and provide a written statement thereof to each such Limited Partner, and (ii) in the event of the death or permanent disability</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of a Limited Partner or a Change of Control of AMG, as promptly as practicable following the receipt of a written request thereof by an applicable Limited Partner (or legal representative or legatee), determine the Fair Value, as of the last day of the most recently completed calendar quarter, of the Partnership Points held by such Limited Partner and provide a written statement thereof to such Limited Partner;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the General Partner may (at the expense of the General Partner) engage a nationally recognized independent valuation expert (an “</w:t>
      </w:r>
      <w:r>
        <w:rPr>
          <w:rFonts w:ascii="Arial" w:cs="Arial" w:eastAsia="Arial" w:hAnsi="Arial"/>
          <w:sz w:val="18"/>
          <w:szCs w:val="18"/>
          <w:u w:val="single" w:color="auto"/>
          <w:color w:val="auto"/>
        </w:rPr>
        <w:t>Independent Valuation Expert</w:t>
      </w:r>
      <w:r>
        <w:rPr>
          <w:rFonts w:ascii="Arial" w:cs="Arial" w:eastAsia="Arial" w:hAnsi="Arial"/>
          <w:sz w:val="18"/>
          <w:szCs w:val="18"/>
          <w:color w:val="auto"/>
        </w:rPr>
        <w:t>”) to assist with the determination of Fair Value.</w:t>
      </w:r>
    </w:p>
    <w:p>
      <w:pPr>
        <w:spacing w:after="0" w:line="188" w:lineRule="exact"/>
        <w:rPr>
          <w:sz w:val="20"/>
          <w:szCs w:val="20"/>
          <w:color w:val="auto"/>
        </w:rPr>
      </w:pPr>
    </w:p>
    <w:p>
      <w:pPr>
        <w:ind w:right="40" w:firstLine="1287"/>
        <w:spacing w:after="0" w:line="290" w:lineRule="auto"/>
        <w:tabs>
          <w:tab w:leader="none" w:pos="1821"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purposes of any determination of Fair Value hereunder, the parties acknowledge and agree that (i) the Fair Value shall be based upon the Partnership’s implied share of the run-rate income (or so called “Owners’ Allocation”) generated by the Applicable AMG Affiliates without regard to any expenses, obligations, expenditures or other costs incurred by AMG or its Controlled Affiliates (including, without limitation, the General Partner, the Partnership and the Applicable AMG Affiliates) (provided, that such run-rate income shall take into account any expected “Owners’ Allocation Expenditures” and similar expenses of the Applicable AMG Affiliates), (ii) the Fair Value shall assume a transaction between a willing buyer and willing seller when neither is under compulsion to buy or sell and both have reasonable knowledge of the relevant facts, and (iii) the methodologies used to determine the Fair Value of any Partnership Points under this Agreement shall be consistently applied among all Limited Partners and all periods. Any such determination of the Fair Value of the Partnership Points shall be final and binding on each of the General Partner and the applicable Limited Partners.</w:t>
      </w:r>
    </w:p>
    <w:p>
      <w:pPr>
        <w:spacing w:after="0" w:line="166" w:lineRule="exact"/>
        <w:rPr>
          <w:sz w:val="20"/>
          <w:szCs w:val="20"/>
          <w:color w:val="auto"/>
        </w:rPr>
      </w:pPr>
    </w:p>
    <w:p>
      <w:pPr>
        <w:ind w:left="480"/>
        <w:spacing w:after="0"/>
        <w:tabs>
          <w:tab w:leader="none" w:pos="186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5"/>
          <w:szCs w:val="15"/>
          <w:u w:val="single" w:color="auto"/>
          <w:color w:val="auto"/>
        </w:rPr>
        <w:t>Puts and Calls of Vested Points</w:t>
      </w:r>
      <w:r>
        <w:rPr>
          <w:rFonts w:ascii="Arial" w:cs="Arial" w:eastAsia="Arial" w:hAnsi="Arial"/>
          <w:sz w:val="15"/>
          <w:szCs w:val="15"/>
          <w:color w:val="auto"/>
        </w:rPr>
        <w:t>.</w:t>
      </w:r>
    </w:p>
    <w:p>
      <w:pPr>
        <w:spacing w:after="0" w:line="225" w:lineRule="exact"/>
        <w:rPr>
          <w:sz w:val="20"/>
          <w:szCs w:val="20"/>
          <w:color w:val="auto"/>
        </w:rPr>
      </w:pPr>
    </w:p>
    <w:p>
      <w:pPr>
        <w:ind w:right="40" w:firstLine="1287"/>
        <w:spacing w:after="0" w:line="257" w:lineRule="auto"/>
        <w:tabs>
          <w:tab w:leader="none" w:pos="18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Limited Partner may, at such Limited Partner’s option, subject to the terms and conditions set forth in this Section 6.4, cause the General Partner to purchase (and in such event the General Partner shall purchase) (a “</w:t>
      </w:r>
      <w:r>
        <w:rPr>
          <w:rFonts w:ascii="Arial" w:cs="Arial" w:eastAsia="Arial" w:hAnsi="Arial"/>
          <w:sz w:val="18"/>
          <w:szCs w:val="18"/>
          <w:u w:val="single" w:color="auto"/>
          <w:color w:val="auto"/>
        </w:rPr>
        <w:t>Put</w:t>
      </w:r>
      <w:r>
        <w:rPr>
          <w:rFonts w:ascii="Arial" w:cs="Arial" w:eastAsia="Arial" w:hAnsi="Arial"/>
          <w:sz w:val="18"/>
          <w:szCs w:val="18"/>
          <w:color w:val="auto"/>
        </w:rPr>
        <w:t>”) all or any portion of such Limited Partner’s Vested Points annually, beginning with calendar year 2014, on the last business day of the first calendar quarter of each calendar year (a “</w:t>
      </w:r>
      <w:r>
        <w:rPr>
          <w:rFonts w:ascii="Arial" w:cs="Arial" w:eastAsia="Arial" w:hAnsi="Arial"/>
          <w:sz w:val="18"/>
          <w:szCs w:val="18"/>
          <w:u w:val="single" w:color="auto"/>
          <w:color w:val="auto"/>
        </w:rPr>
        <w:t>Purchase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Put right shall not apply to any Vested Points which have not been Vested Points for more than six (6) months prior to the last day of the most recently completed calendar quarter prior to such Purchase Date.</w:t>
      </w:r>
    </w:p>
    <w:p>
      <w:pPr>
        <w:spacing w:after="0" w:line="188" w:lineRule="exact"/>
        <w:rPr>
          <w:rFonts w:ascii="Arial" w:cs="Arial" w:eastAsia="Arial" w:hAnsi="Arial"/>
          <w:sz w:val="18"/>
          <w:szCs w:val="18"/>
          <w:color w:val="auto"/>
        </w:rPr>
      </w:pPr>
    </w:p>
    <w:p>
      <w:pPr>
        <w:ind w:firstLine="1287"/>
        <w:spacing w:after="0" w:line="263" w:lineRule="auto"/>
        <w:tabs>
          <w:tab w:leader="none" w:pos="1821"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6.4, a Limited Partner may exercise its Put right hereunder with respect to all or any portion of such Limited Partner’s Vested Points in connection with (x) a Change of Control of AMG, or (y) the death or permanent disability of such Limited Partner, and, in each case, the Purchase Date for such Put shall be the later of: (i) the last business day of the second (2</w:t>
      </w:r>
      <w:r>
        <w:rPr>
          <w:rFonts w:ascii="Arial" w:cs="Arial" w:eastAsia="Arial" w:hAnsi="Arial"/>
          <w:sz w:val="20"/>
          <w:szCs w:val="20"/>
          <w:color w:val="auto"/>
          <w:vertAlign w:val="superscript"/>
        </w:rPr>
        <w:t>nd</w:t>
      </w:r>
      <w:r>
        <w:rPr>
          <w:rFonts w:ascii="Arial" w:cs="Arial" w:eastAsia="Arial" w:hAnsi="Arial"/>
          <w:sz w:val="16"/>
          <w:szCs w:val="16"/>
          <w:color w:val="auto"/>
        </w:rPr>
        <w:t>) full month following the delivery by such Limited Partner of a Purchase Notice (as defined below), or (ii) the last business day of the first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month following the delivery by such Limited Partner of a Purchase Notice which would allow the Fair Value of such Vested Points to be determined in connection with such Put as of a date which is more than six (6) months prior to the date on which such Partnership Points became Vested Points;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Purchase Date would otherwise fall on or prior to the last business day of the month following the month in which occurred the second (2</w:t>
      </w:r>
      <w:r>
        <w:rPr>
          <w:rFonts w:ascii="Arial" w:cs="Arial" w:eastAsia="Arial" w:hAnsi="Arial"/>
          <w:sz w:val="20"/>
          <w:szCs w:val="20"/>
          <w:color w:val="auto"/>
          <w:vertAlign w:val="superscript"/>
        </w:rPr>
        <w:t>nd</w:t>
      </w:r>
      <w:r>
        <w:rPr>
          <w:rFonts w:ascii="Arial" w:cs="Arial" w:eastAsia="Arial" w:hAnsi="Arial"/>
          <w:sz w:val="16"/>
          <w:szCs w:val="16"/>
          <w:color w:val="auto"/>
        </w:rPr>
        <w:t>) anniversary of the Effective Date, then the applicable Limited Partner may elect to delay the Purchase Date until such last business day. In addition</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to the foregoing, a Limited Partner may exercise its Put right hereunder with respect to all or any portion of such Limited Partner’s Vested Points at any time upon the receipt by any of the Partnership, the General Partner or any Limited Partner of written notice from the IRS that the Partnership Points do not constitute Profits Interests for federal income tax purposes, and in such event the Purchase Date for such Put shall be the later of: (x) the last business day of the second (2</w:t>
      </w:r>
      <w:r>
        <w:rPr>
          <w:rFonts w:ascii="Arial" w:cs="Arial" w:eastAsia="Arial" w:hAnsi="Arial"/>
          <w:sz w:val="20"/>
          <w:szCs w:val="20"/>
          <w:color w:val="auto"/>
          <w:vertAlign w:val="superscript"/>
        </w:rPr>
        <w:t>nd</w:t>
      </w:r>
      <w:r>
        <w:rPr>
          <w:rFonts w:ascii="Arial" w:cs="Arial" w:eastAsia="Arial" w:hAnsi="Arial"/>
          <w:sz w:val="16"/>
          <w:szCs w:val="16"/>
          <w:color w:val="auto"/>
        </w:rPr>
        <w:t>) full month following the delivery by such Limited Partner of a Purchase Notice, or (y) the last business day of the first (1</w:t>
      </w:r>
      <w:r>
        <w:rPr>
          <w:rFonts w:ascii="Arial" w:cs="Arial" w:eastAsia="Arial" w:hAnsi="Arial"/>
          <w:sz w:val="20"/>
          <w:szCs w:val="20"/>
          <w:color w:val="auto"/>
          <w:vertAlign w:val="superscript"/>
        </w:rPr>
        <w:t>st</w:t>
      </w:r>
      <w:r>
        <w:rPr>
          <w:rFonts w:ascii="Arial" w:cs="Arial" w:eastAsia="Arial" w:hAnsi="Arial"/>
          <w:sz w:val="16"/>
          <w:szCs w:val="16"/>
          <w:color w:val="auto"/>
        </w:rPr>
        <w:t>) month following the delivery by such Limited Partner of a Purchase Notice which would allow the Fair Value of such Vested Points to be determined in connection with such Put as of a date which is more than six (6) months prior to the date on which such Partnership Points became Vested Points.</w:t>
      </w:r>
    </w:p>
    <w:p>
      <w:pPr>
        <w:spacing w:after="0" w:line="176" w:lineRule="exact"/>
        <w:rPr>
          <w:sz w:val="20"/>
          <w:szCs w:val="20"/>
          <w:color w:val="auto"/>
        </w:rPr>
      </w:pPr>
    </w:p>
    <w:p>
      <w:pPr>
        <w:ind w:right="40" w:firstLine="1287"/>
        <w:spacing w:after="0" w:line="241" w:lineRule="auto"/>
        <w:tabs>
          <w:tab w:leader="none" w:pos="1811"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event that a Limited Partner engages in Competitive Activity at any time, the General Partner may cause such Limited Partner to sell (and in such event such Limited Partner shall sell) all or any portion of the Vested Points held by such Limited Partner (a “</w:t>
      </w:r>
      <w:r>
        <w:rPr>
          <w:rFonts w:ascii="Arial" w:cs="Arial" w:eastAsia="Arial" w:hAnsi="Arial"/>
          <w:sz w:val="17"/>
          <w:szCs w:val="17"/>
          <w:u w:val="single" w:color="auto"/>
          <w:color w:val="auto"/>
        </w:rPr>
        <w:t>Call</w:t>
      </w:r>
      <w:r>
        <w:rPr>
          <w:rFonts w:ascii="Arial" w:cs="Arial" w:eastAsia="Arial" w:hAnsi="Arial"/>
          <w:sz w:val="17"/>
          <w:szCs w:val="17"/>
          <w:color w:val="auto"/>
        </w:rPr>
        <w:t>”) and, in such case, the Purchase Date for such Call shall be the later of: (i) the last business day of the second (2</w:t>
      </w:r>
      <w:r>
        <w:rPr>
          <w:rFonts w:ascii="Arial" w:cs="Arial" w:eastAsia="Arial" w:hAnsi="Arial"/>
          <w:sz w:val="22"/>
          <w:szCs w:val="22"/>
          <w:color w:val="auto"/>
          <w:vertAlign w:val="superscript"/>
        </w:rPr>
        <w:t>nd</w:t>
      </w:r>
      <w:r>
        <w:rPr>
          <w:rFonts w:ascii="Arial" w:cs="Arial" w:eastAsia="Arial" w:hAnsi="Arial"/>
          <w:sz w:val="17"/>
          <w:szCs w:val="17"/>
          <w:color w:val="auto"/>
        </w:rPr>
        <w:t>) full month following the delivery by the General Partner of a Purchase Notice, or (ii) the last business day of the first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month following the delivery by such Limited Partner of a Purchase Notice which would allow the Fair Value of such Vested Points to be determined in connection with such Call as of a date which is more than six (6) months prior to the date on which such Partnership Points became Vested Points;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Purchase Date would otherwise fall on or prior to the last business day of the month following the month in which occurred the second (2</w:t>
      </w:r>
      <w:r>
        <w:rPr>
          <w:rFonts w:ascii="Arial" w:cs="Arial" w:eastAsia="Arial" w:hAnsi="Arial"/>
          <w:sz w:val="22"/>
          <w:szCs w:val="22"/>
          <w:color w:val="auto"/>
          <w:vertAlign w:val="superscript"/>
        </w:rPr>
        <w:t>nd</w:t>
      </w:r>
      <w:r>
        <w:rPr>
          <w:rFonts w:ascii="Arial" w:cs="Arial" w:eastAsia="Arial" w:hAnsi="Arial"/>
          <w:sz w:val="17"/>
          <w:szCs w:val="17"/>
          <w:color w:val="auto"/>
        </w:rPr>
        <w:t>) anniversary of the Effective Date, then the applicable Limited Partner may elect to delay the Purchase Date until such last business day.</w:t>
      </w:r>
    </w:p>
    <w:p>
      <w:pPr>
        <w:sectPr>
          <w:pgSz w:w="11900" w:h="16838" w:orient="portrait"/>
          <w:cols w:equalWidth="0" w:num="1">
            <w:col w:w="11240"/>
          </w:cols>
          <w:pgMar w:left="420" w:top="341" w:right="239" w:bottom="8" w:gutter="0" w:footer="0" w:header="0"/>
        </w:sectPr>
      </w:pPr>
    </w:p>
    <w:bookmarkStart w:id="103" w:name="page104"/>
    <w:bookmarkEnd w:id="103"/>
    <w:p>
      <w:pPr>
        <w:spacing w:after="0" w:line="79" w:lineRule="exact"/>
        <w:rPr>
          <w:sz w:val="20"/>
          <w:szCs w:val="20"/>
          <w:color w:val="auto"/>
        </w:rPr>
      </w:pPr>
    </w:p>
    <w:p>
      <w:pPr>
        <w:jc w:val="both"/>
        <w:ind w:left="180" w:right="200" w:firstLine="1287"/>
        <w:spacing w:after="0" w:line="264" w:lineRule="auto"/>
        <w:tabs>
          <w:tab w:leader="none" w:pos="20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Any Limited Partner or the General Partner may exercise a Put or a Call, respectively, by delivering to the other Person a written notice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Purchase Notice</w:t>
      </w:r>
      <w:r>
        <w:rPr>
          <w:rFonts w:ascii="Arial" w:cs="Arial" w:eastAsia="Arial" w:hAnsi="Arial"/>
          <w:sz w:val="18"/>
          <w:szCs w:val="18"/>
          <w:color w:val="auto"/>
        </w:rPr>
        <w:t>”) stating the number of Vested Points to be sold and purchased in such Put or Call (as applicable) (the “</w:t>
      </w:r>
      <w:r>
        <w:rPr>
          <w:rFonts w:ascii="Arial" w:cs="Arial" w:eastAsia="Arial" w:hAnsi="Arial"/>
          <w:sz w:val="18"/>
          <w:szCs w:val="18"/>
          <w:u w:val="single" w:color="auto"/>
          <w:color w:val="auto"/>
        </w:rPr>
        <w:t>Purchased Points</w:t>
      </w:r>
      <w:r>
        <w:rPr>
          <w:rFonts w:ascii="Arial" w:cs="Arial" w:eastAsia="Arial" w:hAnsi="Arial"/>
          <w:sz w:val="18"/>
          <w:szCs w:val="18"/>
          <w:color w:val="auto"/>
        </w:rPr>
        <w:t>”), as follows:</w:t>
      </w:r>
    </w:p>
    <w:p>
      <w:pPr>
        <w:spacing w:after="0" w:line="181" w:lineRule="exact"/>
        <w:rPr>
          <w:rFonts w:ascii="Arial" w:cs="Arial" w:eastAsia="Arial" w:hAnsi="Arial"/>
          <w:sz w:val="18"/>
          <w:szCs w:val="18"/>
          <w:color w:val="auto"/>
        </w:rPr>
      </w:pPr>
    </w:p>
    <w:p>
      <w:pPr>
        <w:ind w:left="1300" w:right="180" w:firstLine="653"/>
        <w:spacing w:after="0" w:line="277" w:lineRule="auto"/>
        <w:tabs>
          <w:tab w:leader="none" w:pos="26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the case of a Put to be exercised pursuant to Section 6.4(a), on or prior to the last business day of February preceding the applicable Purchase Date;</w:t>
      </w:r>
    </w:p>
    <w:p>
      <w:pPr>
        <w:spacing w:after="0" w:line="170" w:lineRule="exact"/>
        <w:rPr>
          <w:rFonts w:ascii="Arial" w:cs="Arial" w:eastAsia="Arial" w:hAnsi="Arial"/>
          <w:sz w:val="18"/>
          <w:szCs w:val="18"/>
          <w:color w:val="auto"/>
        </w:rPr>
      </w:pPr>
    </w:p>
    <w:p>
      <w:pPr>
        <w:ind w:left="1300" w:right="240" w:firstLine="653"/>
        <w:spacing w:after="0" w:line="342" w:lineRule="auto"/>
        <w:tabs>
          <w:tab w:leader="none" w:pos="2663" w:val="left"/>
        </w:tabs>
        <w:numPr>
          <w:ilvl w:val="1"/>
          <w:numId w:val="82"/>
        </w:numPr>
        <w:rPr>
          <w:rFonts w:ascii="Arial" w:cs="Arial" w:eastAsia="Arial" w:hAnsi="Arial"/>
          <w:sz w:val="16"/>
          <w:szCs w:val="16"/>
          <w:color w:val="auto"/>
        </w:rPr>
      </w:pPr>
      <w:r>
        <w:rPr>
          <w:rFonts w:ascii="Arial" w:cs="Arial" w:eastAsia="Arial" w:hAnsi="Arial"/>
          <w:sz w:val="16"/>
          <w:szCs w:val="16"/>
          <w:color w:val="auto"/>
        </w:rPr>
        <w:t>In the case of a Put to be exercised pursuant to the first sentence of Section 6.4(b), at any time following the announcement of such Change of Control of AMG or following the death or permanent disability of such Limited Partner (as applicable);</w:t>
      </w:r>
    </w:p>
    <w:p>
      <w:pPr>
        <w:spacing w:after="0" w:line="123" w:lineRule="exact"/>
        <w:rPr>
          <w:rFonts w:ascii="Arial" w:cs="Arial" w:eastAsia="Arial" w:hAnsi="Arial"/>
          <w:sz w:val="16"/>
          <w:szCs w:val="16"/>
          <w:color w:val="auto"/>
        </w:rPr>
      </w:pPr>
    </w:p>
    <w:p>
      <w:pPr>
        <w:ind w:left="1300" w:right="80" w:firstLine="653"/>
        <w:spacing w:after="0" w:line="277" w:lineRule="auto"/>
        <w:tabs>
          <w:tab w:leader="none" w:pos="26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the case of a Put to be exercised pursuant to the second sentence of Section 6.4(b), at any time following receipt of the notice described therein; and</w:t>
      </w:r>
    </w:p>
    <w:p>
      <w:pPr>
        <w:spacing w:after="0" w:line="170" w:lineRule="exact"/>
        <w:rPr>
          <w:rFonts w:ascii="Arial" w:cs="Arial" w:eastAsia="Arial" w:hAnsi="Arial"/>
          <w:sz w:val="18"/>
          <w:szCs w:val="18"/>
          <w:color w:val="auto"/>
        </w:rPr>
      </w:pPr>
    </w:p>
    <w:p>
      <w:pPr>
        <w:ind w:left="1300" w:right="340" w:firstLine="653"/>
        <w:spacing w:after="0" w:line="277" w:lineRule="auto"/>
        <w:tabs>
          <w:tab w:leader="none" w:pos="26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the case of a Call to be exercised pursuant to Section 6.4(c), at any time following the applicable Limited Partner’s engagement in Competitive Activity.</w:t>
      </w:r>
    </w:p>
    <w:p>
      <w:pPr>
        <w:spacing w:after="0" w:line="170" w:lineRule="exact"/>
        <w:rPr>
          <w:rFonts w:ascii="Arial" w:cs="Arial" w:eastAsia="Arial" w:hAnsi="Arial"/>
          <w:sz w:val="18"/>
          <w:szCs w:val="18"/>
          <w:color w:val="auto"/>
        </w:rPr>
      </w:pPr>
    </w:p>
    <w:p>
      <w:pPr>
        <w:ind w:left="180" w:right="140" w:firstLine="1287"/>
        <w:spacing w:after="0" w:line="308" w:lineRule="auto"/>
        <w:tabs>
          <w:tab w:leader="none" w:pos="1991" w:val="left"/>
        </w:tabs>
        <w:numPr>
          <w:ilvl w:val="0"/>
          <w:numId w:val="82"/>
        </w:numPr>
        <w:rPr>
          <w:rFonts w:ascii="Arial" w:cs="Arial" w:eastAsia="Arial" w:hAnsi="Arial"/>
          <w:sz w:val="17"/>
          <w:szCs w:val="17"/>
          <w:color w:val="auto"/>
        </w:rPr>
      </w:pPr>
      <w:r>
        <w:rPr>
          <w:rFonts w:ascii="Arial" w:cs="Arial" w:eastAsia="Arial" w:hAnsi="Arial"/>
          <w:sz w:val="17"/>
          <w:szCs w:val="17"/>
          <w:color w:val="auto"/>
        </w:rPr>
        <w:t>At the closing of any Put or Call (as applicable) on the applicable Purchase Date, the General Partner shall pay the Purchase Price by any combination (at the General Partner’s election) of Cash Payment and/or AMG Shares, against delivery of representations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right="340"/>
        <w:spacing w:after="0" w:line="264" w:lineRule="auto"/>
        <w:rPr>
          <w:sz w:val="20"/>
          <w:szCs w:val="20"/>
          <w:color w:val="auto"/>
        </w:rPr>
      </w:pPr>
      <w:r>
        <w:rPr>
          <w:rFonts w:ascii="Arial" w:cs="Arial" w:eastAsia="Arial" w:hAnsi="Arial"/>
          <w:sz w:val="18"/>
          <w:szCs w:val="18"/>
          <w:color w:val="auto"/>
        </w:rPr>
        <w:t>and warranties that such Limited Partner is the sole record and beneficial owner of the Purchased Points, free and clear of any Liens other than those imposed by this Agreement. In connection with any Put or Call, the General Partner shall be deemed to be repurchasing a ratable share of such Limited Partner’s Partnership Interest, including any related Capital Account.</w:t>
      </w:r>
    </w:p>
    <w:p>
      <w:pPr>
        <w:spacing w:after="0" w:line="181" w:lineRule="exact"/>
        <w:rPr>
          <w:sz w:val="20"/>
          <w:szCs w:val="20"/>
          <w:color w:val="auto"/>
        </w:rPr>
      </w:pPr>
    </w:p>
    <w:p>
      <w:pPr>
        <w:ind w:left="180" w:right="80" w:firstLine="1287"/>
        <w:spacing w:after="0" w:line="264" w:lineRule="auto"/>
        <w:tabs>
          <w:tab w:leader="none" w:pos="20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the applicable Purchase Date, the Limited Partner shall cease to hold the Purchased Points purchased on such Purchase Date and shall cease to hold a pro rata portion of such Limited Partner’s Capital Account (which shall have been transferred to the General Partner) and shall no longer have any rights with respect to such portion of his or her Partnership Interest.</w:t>
      </w:r>
    </w:p>
    <w:p>
      <w:pPr>
        <w:spacing w:after="0" w:line="181" w:lineRule="exact"/>
        <w:rPr>
          <w:rFonts w:ascii="Arial" w:cs="Arial" w:eastAsia="Arial" w:hAnsi="Arial"/>
          <w:sz w:val="18"/>
          <w:szCs w:val="18"/>
          <w:color w:val="auto"/>
        </w:rPr>
      </w:pPr>
    </w:p>
    <w:p>
      <w:pPr>
        <w:ind w:left="180" w:right="40" w:firstLine="1287"/>
        <w:spacing w:after="0" w:line="286" w:lineRule="auto"/>
        <w:tabs>
          <w:tab w:leader="none" w:pos="2001"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event that a Limited Partner is required to sell all or any portion of his or her Partnership Interest pursuant to this Section 6.4 and for any reason fails to execute and deliver the agreements required by this Section 6.4 and otherwise to consummate such sale in accordance with this Section 6.4, the General Partner may deposit the amount payable in respect of such Partnership Interest (subject to offset for any amounts owed by the Limited Partner to the General Partner or its Affiliates, including, without limitation, estimated escrow account fees, as calculated by the General Partner) with any bank doing business within fifty (50) miles of the Partnership’s principal place of business, with the Partnership’s accounting firm or such Limited Partner’s counsel, as agent for such Limited Partner, to be held by such bank, accounting firm or counsel for the benefit of and for delivery to such Limited Partner. Upon such deposit by the General Partner and upon notice thereof given to such Limited Partner, such Limited Partner shall have no further rights under this Agreement with respect to such Partnership Interests (other than the right to withdraw the payment therefor, if any, held by the agent described in the preceding sentence). Each Limited Partner does hereby irrevocably constitute and appoint the General Partner with full power of substitution, the true and lawful attorney-in-fact and agent of such Limited Partner, to execute and deliver, in such Limited Partner’s (or his or her assignee’s) name, place and stead, all instruments, documents and certificates as the General Partner may determine to be necessary, appropriate or convenient to consummate any sale contemplated by this Section 6.4 and/or make any deposit contemplated by this Section 6.4(g). This power of attorney shall be deemed to be coupled with an interest, shall be irrevocable, shall survive and not be affected by the dissolution, bankruptcy, incompetence or legal disability of any Limited Partner and shall extend to such Limited Partner’s successors and assigns.</w:t>
      </w:r>
    </w:p>
    <w:p>
      <w:pPr>
        <w:spacing w:after="0" w:line="171" w:lineRule="exact"/>
        <w:rPr>
          <w:rFonts w:ascii="Arial" w:cs="Arial" w:eastAsia="Arial" w:hAnsi="Arial"/>
          <w:sz w:val="16"/>
          <w:szCs w:val="16"/>
          <w:color w:val="auto"/>
        </w:rPr>
      </w:pPr>
    </w:p>
    <w:p>
      <w:pPr>
        <w:ind w:left="180" w:right="280" w:firstLine="1287"/>
        <w:spacing w:after="0" w:line="264" w:lineRule="auto"/>
        <w:tabs>
          <w:tab w:leader="none" w:pos="20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General Partner may (without the need for any vote or consent of any Partner) assign any or all of its rights and obligations under this Section 6.4, in one or more instances, to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assignment shall relieve the General Partner of its obligation to make payment of a Purchase Price to the extent not paid by any such assignee.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40" w:type="dxa"/>
            <w:vAlign w:val="bottom"/>
          </w:tcPr>
          <w:p>
            <w:pPr>
              <w:jc w:val="center"/>
              <w:ind w:right="3570"/>
              <w:spacing w:after="0"/>
              <w:rPr>
                <w:sz w:val="20"/>
                <w:szCs w:val="20"/>
                <w:color w:val="auto"/>
              </w:rPr>
            </w:pPr>
            <w:r>
              <w:rPr>
                <w:rFonts w:ascii="Arial" w:cs="Arial" w:eastAsia="Arial" w:hAnsi="Arial"/>
                <w:sz w:val="18"/>
                <w:szCs w:val="18"/>
                <w:color w:val="auto"/>
                <w:w w:val="99"/>
              </w:rPr>
              <w:t>ARTICLE VII - DISSOLUTION AND TERMINATION.</w:t>
            </w:r>
          </w:p>
        </w:tc>
      </w:tr>
      <w:tr>
        <w:trPr>
          <w:trHeight w:val="392"/>
        </w:trPr>
        <w:tc>
          <w:tcPr>
            <w:tcW w:w="206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9400" w:type="dxa"/>
            <w:vAlign w:val="bottom"/>
            <w:gridSpan w:val="3"/>
          </w:tcPr>
          <w:p>
            <w:pPr>
              <w:spacing w:after="0"/>
              <w:rPr>
                <w:sz w:val="20"/>
                <w:szCs w:val="20"/>
                <w:color w:val="auto"/>
              </w:rPr>
            </w:pPr>
            <w:r>
              <w:rPr>
                <w:rFonts w:ascii="Arial" w:cs="Arial" w:eastAsia="Arial" w:hAnsi="Arial"/>
                <w:sz w:val="18"/>
                <w:szCs w:val="18"/>
                <w:color w:val="auto"/>
                <w:w w:val="96"/>
              </w:rPr>
              <w:t>No Dissolution. The Partnership shall not be dissolved by the admission of substitute Partners or by the death, retirement,</w:t>
            </w:r>
          </w:p>
        </w:tc>
      </w:tr>
      <w:tr>
        <w:trPr>
          <w:trHeight w:val="20"/>
        </w:trPr>
        <w:tc>
          <w:tcPr>
            <w:tcW w:w="2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37"/>
        </w:trPr>
        <w:tc>
          <w:tcPr>
            <w:tcW w:w="11460" w:type="dxa"/>
            <w:vAlign w:val="bottom"/>
            <w:gridSpan w:val="4"/>
          </w:tcPr>
          <w:p>
            <w:pPr>
              <w:spacing w:after="0"/>
              <w:rPr>
                <w:sz w:val="20"/>
                <w:szCs w:val="20"/>
                <w:color w:val="auto"/>
              </w:rPr>
            </w:pPr>
            <w:r>
              <w:rPr>
                <w:rFonts w:ascii="Arial" w:cs="Arial" w:eastAsia="Arial" w:hAnsi="Arial"/>
                <w:sz w:val="18"/>
                <w:szCs w:val="18"/>
                <w:color w:val="auto"/>
              </w:rPr>
              <w:t>resignation, expulsion, bankruptcy or dissolution of any Partner.</w:t>
            </w:r>
          </w:p>
        </w:tc>
      </w:tr>
      <w:tr>
        <w:trPr>
          <w:trHeight w:val="432"/>
        </w:trPr>
        <w:tc>
          <w:tcPr>
            <w:tcW w:w="2060" w:type="dxa"/>
            <w:vAlign w:val="bottom"/>
          </w:tcPr>
          <w:p>
            <w:pPr>
              <w:spacing w:after="0"/>
              <w:rPr>
                <w:sz w:val="24"/>
                <w:szCs w:val="24"/>
                <w:color w:val="auto"/>
              </w:rPr>
            </w:pPr>
          </w:p>
        </w:tc>
        <w:tc>
          <w:tcPr>
            <w:tcW w:w="9400" w:type="dxa"/>
            <w:vAlign w:val="bottom"/>
            <w:gridSpan w:val="3"/>
          </w:tcPr>
          <w:p>
            <w:pPr>
              <w:jc w:val="right"/>
              <w:ind w:right="5570"/>
              <w:spacing w:after="0"/>
              <w:rPr>
                <w:sz w:val="20"/>
                <w:szCs w:val="20"/>
                <w:color w:val="auto"/>
              </w:rPr>
            </w:pPr>
            <w:r>
              <w:rPr>
                <w:rFonts w:ascii="Arial" w:cs="Arial" w:eastAsia="Arial" w:hAnsi="Arial"/>
                <w:sz w:val="18"/>
                <w:szCs w:val="18"/>
                <w:color w:val="auto"/>
              </w:rPr>
              <w:t>17</w:t>
            </w:r>
          </w:p>
        </w:tc>
      </w:tr>
      <w:tr>
        <w:trPr>
          <w:trHeight w:val="132"/>
        </w:trPr>
        <w:tc>
          <w:tcPr>
            <w:tcW w:w="20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7840" w:type="dxa"/>
            <w:vAlign w:val="bottom"/>
            <w:tcBorders>
              <w:bottom w:val="single" w:sz="8" w:color="010101"/>
            </w:tcBorders>
          </w:tcPr>
          <w:p>
            <w:pPr>
              <w:spacing w:after="0"/>
              <w:rPr>
                <w:sz w:val="11"/>
                <w:szCs w:val="11"/>
                <w:color w:val="auto"/>
              </w:rPr>
            </w:pPr>
          </w:p>
        </w:tc>
      </w:tr>
      <w:tr>
        <w:trPr>
          <w:trHeight w:val="740"/>
        </w:trPr>
        <w:tc>
          <w:tcPr>
            <w:tcW w:w="206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9400" w:type="dxa"/>
            <w:vAlign w:val="bottom"/>
            <w:gridSpan w:val="3"/>
          </w:tcPr>
          <w:p>
            <w:pPr>
              <w:spacing w:after="0"/>
              <w:rPr>
                <w:sz w:val="20"/>
                <w:szCs w:val="20"/>
                <w:color w:val="auto"/>
              </w:rPr>
            </w:pPr>
            <w:r>
              <w:rPr>
                <w:rFonts w:ascii="Arial" w:cs="Arial" w:eastAsia="Arial" w:hAnsi="Arial"/>
                <w:sz w:val="18"/>
                <w:szCs w:val="18"/>
                <w:color w:val="auto"/>
                <w:w w:val="94"/>
              </w:rPr>
              <w:t>Events of Dissolution. The Partnership shall be dissolved and its affairs wound up upon the occurrence of any of the following</w:t>
            </w:r>
          </w:p>
        </w:tc>
      </w:tr>
      <w:tr>
        <w:trPr>
          <w:trHeight w:val="20"/>
        </w:trPr>
        <w:tc>
          <w:tcPr>
            <w:tcW w:w="2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-507365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both"/>
        <w:ind w:right="300"/>
        <w:spacing w:after="0" w:line="277" w:lineRule="auto"/>
        <w:rPr>
          <w:sz w:val="20"/>
          <w:szCs w:val="20"/>
          <w:color w:val="auto"/>
        </w:rPr>
      </w:pPr>
      <w:r>
        <w:rPr>
          <w:rFonts w:ascii="Arial" w:cs="Arial" w:eastAsia="Arial" w:hAnsi="Arial"/>
          <w:sz w:val="18"/>
          <w:szCs w:val="18"/>
          <w:color w:val="auto"/>
        </w:rPr>
        <w:t>events: (a) a date designated and approved in writing by the General Partner and a Supermajority Limited Partner Vote; or (b) upon the entry of a decree of judicial dissolution under §17-802 of the Act.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9180" w:type="dxa"/>
            <w:vAlign w:val="bottom"/>
            <w:gridSpan w:val="3"/>
          </w:tcPr>
          <w:p>
            <w:pPr>
              <w:spacing w:after="0"/>
              <w:rPr>
                <w:sz w:val="20"/>
                <w:szCs w:val="20"/>
                <w:color w:val="auto"/>
              </w:rPr>
            </w:pPr>
            <w:r>
              <w:rPr>
                <w:rFonts w:ascii="Arial" w:cs="Arial" w:eastAsia="Arial" w:hAnsi="Arial"/>
                <w:sz w:val="18"/>
                <w:szCs w:val="18"/>
                <w:color w:val="auto"/>
                <w:w w:val="92"/>
              </w:rPr>
              <w:t>Notice of Dissolution. The General Partner shall promptly notify the Partners of any dissolution of the Partnership pursuant to</w:t>
            </w:r>
          </w:p>
        </w:tc>
      </w:tr>
      <w:tr>
        <w:trPr>
          <w:trHeight w:val="20"/>
        </w:trPr>
        <w:tc>
          <w:tcPr>
            <w:tcW w:w="2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37"/>
        </w:trPr>
        <w:tc>
          <w:tcPr>
            <w:tcW w:w="11240" w:type="dxa"/>
            <w:vAlign w:val="bottom"/>
            <w:gridSpan w:val="4"/>
          </w:tcPr>
          <w:p>
            <w:pPr>
              <w:spacing w:after="0"/>
              <w:rPr>
                <w:sz w:val="20"/>
                <w:szCs w:val="20"/>
                <w:color w:val="auto"/>
              </w:rPr>
            </w:pPr>
            <w:r>
              <w:rPr>
                <w:rFonts w:ascii="Arial" w:cs="Arial" w:eastAsia="Arial" w:hAnsi="Arial"/>
                <w:sz w:val="18"/>
                <w:szCs w:val="18"/>
                <w:color w:val="auto"/>
              </w:rPr>
              <w:t>Section 7.2 or otherwise pursuant to the Act.</w:t>
            </w:r>
          </w:p>
        </w:tc>
      </w:tr>
      <w:tr>
        <w:trPr>
          <w:trHeight w:val="392"/>
        </w:trPr>
        <w:tc>
          <w:tcPr>
            <w:tcW w:w="206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9180" w:type="dxa"/>
            <w:vAlign w:val="bottom"/>
            <w:gridSpan w:val="3"/>
          </w:tcPr>
          <w:p>
            <w:pPr>
              <w:spacing w:after="0"/>
              <w:rPr>
                <w:sz w:val="20"/>
                <w:szCs w:val="20"/>
                <w:color w:val="auto"/>
              </w:rPr>
            </w:pPr>
            <w:r>
              <w:rPr>
                <w:rFonts w:ascii="Arial" w:cs="Arial" w:eastAsia="Arial" w:hAnsi="Arial"/>
                <w:sz w:val="18"/>
                <w:szCs w:val="18"/>
                <w:color w:val="auto"/>
                <w:w w:val="90"/>
              </w:rPr>
              <w:t>Liquidation. Upon the dissolution of the Partnership, the General Partner, or if there is none, the Person or Persons approved by</w:t>
            </w:r>
          </w:p>
        </w:tc>
      </w:tr>
      <w:tr>
        <w:trPr>
          <w:trHeight w:val="20"/>
        </w:trPr>
        <w:tc>
          <w:tcPr>
            <w:tcW w:w="2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holders of more than fifty percent (50%) of the Partnership Points then outstanding shall carry out the winding up of the Partnership (in such capacity, the “</w:t>
      </w:r>
      <w:r>
        <w:rPr>
          <w:rFonts w:ascii="Arial" w:cs="Arial" w:eastAsia="Arial" w:hAnsi="Arial"/>
          <w:sz w:val="17"/>
          <w:szCs w:val="17"/>
          <w:u w:val="single" w:color="auto"/>
          <w:color w:val="auto"/>
        </w:rPr>
        <w:t>Liquidating Trustee</w:t>
      </w:r>
      <w:r>
        <w:rPr>
          <w:rFonts w:ascii="Arial" w:cs="Arial" w:eastAsia="Arial" w:hAnsi="Arial"/>
          <w:sz w:val="17"/>
          <w:szCs w:val="17"/>
          <w:color w:val="auto"/>
        </w:rPr>
        <w:t xml:space="preserve">”) and shall immediately commence to wind up the Partnership’s affairs;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reasonable time shall be allowed for the orderly liquidation of the assets of the Partnership and the satisfaction of liabilities to creditors so as to enable the Partners to minimize the normal losses attendant upon a liquidation. The Partners shall continue to share in allocations and distributions during liquidation in the same proportions, as specified in Article IV, as before liquidation. The proceeds of liquidation shall be distributed as set forth in Section 4.4.</w:t>
      </w:r>
    </w:p>
    <w:p>
      <w:pPr>
        <w:spacing w:after="0" w:line="173"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Termination</w:t>
      </w:r>
      <w:r>
        <w:rPr>
          <w:rFonts w:ascii="Arial" w:cs="Arial" w:eastAsia="Arial" w:hAnsi="Arial"/>
          <w:sz w:val="18"/>
          <w:szCs w:val="18"/>
          <w:color w:val="auto"/>
        </w:rPr>
        <w:t>. The Partnership shall terminate when all of the assets of the Partnership, after payment of or due provision for all debts, liabilities and obligations of the Partnership, shall have been distributed to the Partners in the manner provided for in Section 4.4 and the Certificate shall have been canceled in the manner required by the Act.</w:t>
      </w:r>
    </w:p>
    <w:p>
      <w:pPr>
        <w:sectPr>
          <w:pgSz w:w="11900" w:h="16918" w:orient="portrait"/>
          <w:cols w:equalWidth="0" w:num="1">
            <w:col w:w="11460"/>
          </w:cols>
          <w:pgMar w:left="240" w:top="125" w:right="199" w:bottom="0" w:gutter="0" w:footer="0" w:header="0"/>
        </w:sectPr>
      </w:pPr>
    </w:p>
    <w:bookmarkStart w:id="104" w:name="page105"/>
    <w:bookmarkEnd w:id="104"/>
    <w:p>
      <w:pPr>
        <w:ind w:right="40" w:firstLine="648"/>
        <w:spacing w:after="0" w:line="312"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Claims of the Partners</w:t>
      </w:r>
      <w:r>
        <w:rPr>
          <w:rFonts w:ascii="Arial" w:cs="Arial" w:eastAsia="Arial" w:hAnsi="Arial"/>
          <w:sz w:val="16"/>
          <w:szCs w:val="16"/>
          <w:color w:val="auto"/>
        </w:rPr>
        <w:t>. All Partners and former Partners shall look solely to the Partnership’s assets for any return of their Capital Contributions and if the assets of the Partnership remaining after payment of or due provision for all debts, liabilities and obligations of the Partnership are insufficient to return such Capital Contributions, the Partners and former Partners shall have no recourse against the Partnership or any other Partner.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 - RECORDS; TAX MATTERS.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Partnership shall keep complete and accurate books of account with respect to the operations of the Partnership, prepared in accordance with GAAP.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6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9260" w:type="dxa"/>
            <w:vAlign w:val="bottom"/>
            <w:gridSpan w:val="3"/>
          </w:tcPr>
          <w:p>
            <w:pPr>
              <w:spacing w:after="0"/>
              <w:rPr>
                <w:sz w:val="20"/>
                <w:szCs w:val="20"/>
                <w:color w:val="auto"/>
              </w:rPr>
            </w:pPr>
            <w:r>
              <w:rPr>
                <w:rFonts w:ascii="Arial" w:cs="Arial" w:eastAsia="Arial" w:hAnsi="Arial"/>
                <w:sz w:val="18"/>
                <w:szCs w:val="18"/>
                <w:color w:val="auto"/>
                <w:w w:val="89"/>
              </w:rPr>
              <w:t>Tax Year. The taxable year of the Partnership shall be the twelve (12) months ended December 31</w:t>
            </w:r>
            <w:r>
              <w:rPr>
                <w:rFonts w:ascii="Arial" w:cs="Arial" w:eastAsia="Arial" w:hAnsi="Arial"/>
                <w:sz w:val="23"/>
                <w:szCs w:val="23"/>
                <w:color w:val="auto"/>
                <w:w w:val="89"/>
                <w:vertAlign w:val="superscript"/>
              </w:rPr>
              <w:t>st</w:t>
            </w:r>
            <w:r>
              <w:rPr>
                <w:rFonts w:ascii="Arial" w:cs="Arial" w:eastAsia="Arial" w:hAnsi="Arial"/>
                <w:sz w:val="18"/>
                <w:szCs w:val="18"/>
                <w:color w:val="auto"/>
                <w:w w:val="89"/>
              </w:rPr>
              <w:t xml:space="preserve"> or such other taxable year as</w:t>
            </w:r>
          </w:p>
        </w:tc>
      </w:tr>
      <w:tr>
        <w:trPr>
          <w:trHeight w:val="20"/>
        </w:trPr>
        <w:tc>
          <w:tcPr>
            <w:tcW w:w="2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37"/>
        </w:trPr>
        <w:tc>
          <w:tcPr>
            <w:tcW w:w="11320" w:type="dxa"/>
            <w:vAlign w:val="bottom"/>
            <w:gridSpan w:val="4"/>
          </w:tcPr>
          <w:p>
            <w:pPr>
              <w:spacing w:after="0"/>
              <w:rPr>
                <w:sz w:val="20"/>
                <w:szCs w:val="20"/>
                <w:color w:val="auto"/>
              </w:rPr>
            </w:pPr>
            <w:r>
              <w:rPr>
                <w:rFonts w:ascii="Arial" w:cs="Arial" w:eastAsia="Arial" w:hAnsi="Arial"/>
                <w:sz w:val="18"/>
                <w:szCs w:val="18"/>
                <w:color w:val="auto"/>
              </w:rPr>
              <w:t>the General Partner may designate.</w:t>
            </w:r>
          </w:p>
        </w:tc>
      </w:tr>
      <w:tr>
        <w:trPr>
          <w:trHeight w:val="392"/>
        </w:trPr>
        <w:tc>
          <w:tcPr>
            <w:tcW w:w="2060" w:type="dxa"/>
            <w:vAlign w:val="bottom"/>
          </w:tcPr>
          <w:p>
            <w:pPr>
              <w:ind w:left="660"/>
              <w:spacing w:after="0"/>
              <w:rPr>
                <w:sz w:val="20"/>
                <w:szCs w:val="20"/>
                <w:color w:val="auto"/>
              </w:rPr>
            </w:pPr>
            <w:r>
              <w:rPr>
                <w:rFonts w:ascii="Arial" w:cs="Arial" w:eastAsia="Arial" w:hAnsi="Arial"/>
                <w:sz w:val="18"/>
                <w:szCs w:val="18"/>
                <w:color w:val="auto"/>
              </w:rPr>
              <w:t>Section 8.3</w:t>
            </w:r>
          </w:p>
        </w:tc>
        <w:tc>
          <w:tcPr>
            <w:tcW w:w="9260" w:type="dxa"/>
            <w:vAlign w:val="bottom"/>
            <w:gridSpan w:val="3"/>
          </w:tcPr>
          <w:p>
            <w:pPr>
              <w:spacing w:after="0"/>
              <w:rPr>
                <w:sz w:val="20"/>
                <w:szCs w:val="20"/>
                <w:color w:val="auto"/>
              </w:rPr>
            </w:pPr>
            <w:r>
              <w:rPr>
                <w:rFonts w:ascii="Arial" w:cs="Arial" w:eastAsia="Arial" w:hAnsi="Arial"/>
                <w:sz w:val="18"/>
                <w:szCs w:val="18"/>
                <w:color w:val="auto"/>
              </w:rPr>
              <w:t>Tax Matters.</w:t>
            </w:r>
          </w:p>
        </w:tc>
      </w:tr>
      <w:tr>
        <w:trPr>
          <w:trHeight w:val="20"/>
        </w:trPr>
        <w:tc>
          <w:tcPr>
            <w:tcW w:w="2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right="240" w:firstLine="1287"/>
        <w:spacing w:after="0" w:line="308" w:lineRule="auto"/>
        <w:tabs>
          <w:tab w:leader="none" w:pos="199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General Partner shall cause to be prepared and filed on or before the due date (or any extension thereof) federal, state, local and foreign tax or information returns required to be filed by the Partnership and shall provide to the other Partners, as soon as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right="60"/>
        <w:spacing w:after="0" w:line="291" w:lineRule="auto"/>
        <w:rPr>
          <w:sz w:val="20"/>
          <w:szCs w:val="20"/>
          <w:color w:val="auto"/>
        </w:rPr>
      </w:pPr>
      <w:r>
        <w:rPr>
          <w:rFonts w:ascii="Arial" w:cs="Arial" w:eastAsia="Arial" w:hAnsi="Arial"/>
          <w:sz w:val="16"/>
          <w:szCs w:val="16"/>
          <w:color w:val="auto"/>
        </w:rPr>
        <w:t>reasonably practicable following the close of each taxable year of the Partnership, any information which the General Partner has which is necessary to allow the Partners to timely prepare and file any federal, state or local income tax returns (including IRS Schedule K-1). The General Partner, to the extent that Partnership funds are available, shall cause the Partnership to pay any taxes payable by the Partnership; provided that the General Partner shall not be required to cause the Partnership to pay any tax so long as the General Partner or the Partnership is in good faith and by appropriate legal proceedings contesting the validity, applicability or amount thereof and such contest does not materially endanger any right or interest of the Partnership and adequate reserves therefor have been set aside by the Partnership. Neither the Partnership nor any Partner shall do anything or take any action which would be inconsistent with the foregoing or with the General Partner’s actions as authorized by the foregoing provisions of this Section 8.3(a).</w:t>
      </w:r>
    </w:p>
    <w:p>
      <w:pPr>
        <w:spacing w:after="0" w:line="167" w:lineRule="exact"/>
        <w:rPr>
          <w:sz w:val="20"/>
          <w:szCs w:val="20"/>
          <w:color w:val="auto"/>
        </w:rPr>
      </w:pPr>
    </w:p>
    <w:p>
      <w:pPr>
        <w:ind w:left="2000" w:hanging="533"/>
        <w:spacing w:after="0"/>
        <w:tabs>
          <w:tab w:leader="none" w:pos="2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General Partner shall be the “tax matters partner” for the Partnership pursuant to Sections 6221 through 6233 of the Code.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 - LIABILITY, EXCULPATION AND INDEMNIFICATION.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Liability</w:t>
      </w:r>
      <w:r>
        <w:rPr>
          <w:rFonts w:ascii="Arial" w:cs="Arial" w:eastAsia="Arial" w:hAnsi="Arial"/>
          <w:sz w:val="18"/>
          <w:szCs w:val="18"/>
          <w:color w:val="auto"/>
        </w:rPr>
        <w:t>. Except as otherwise provided by the Act, the debts, obligations and liabilities of the Partnership, whether arising in contract, tort or otherwise, shall be solely the debts, obligations and liabilities of the Partnership, and no Covered Person shall be obligated personally for any such debt, obligation or liability of the Partnership solely by reason of being a Covered Person.</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Exculpation</w:t>
      </w:r>
      <w:r>
        <w:rPr>
          <w:rFonts w:ascii="Arial" w:cs="Arial" w:eastAsia="Arial" w:hAnsi="Arial"/>
          <w:sz w:val="16"/>
          <w:szCs w:val="16"/>
          <w:color w:val="auto"/>
        </w:rPr>
        <w:t>.</w:t>
      </w:r>
    </w:p>
    <w:p>
      <w:pPr>
        <w:spacing w:after="0" w:line="225" w:lineRule="exact"/>
        <w:rPr>
          <w:sz w:val="20"/>
          <w:szCs w:val="20"/>
          <w:color w:val="auto"/>
        </w:rPr>
      </w:pPr>
    </w:p>
    <w:p>
      <w:pPr>
        <w:ind w:left="180" w:firstLine="1287"/>
        <w:spacing w:after="0" w:line="257" w:lineRule="auto"/>
        <w:tabs>
          <w:tab w:leader="none" w:pos="19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Covered Person shall be liable to the Partnership or any other Covered Person for any loss, damage or claim incurred by reason of any act or omission performed or omitted by such Covered Person in good faith on behalf of the Partnership and in a manner reasonably believed to be within the scope of authority conferred on such Covered Person by this Agreement, except that a Covered Person shall be liable for any such loss, damage or claim incurred by reason of any action or inaction of such Covered Person which constituted fraud, gross negligence, bad faith, willful misconduct or a breach of this Agreement.</w:t>
      </w:r>
    </w:p>
    <w:p>
      <w:pPr>
        <w:spacing w:after="0" w:line="188" w:lineRule="exact"/>
        <w:rPr>
          <w:rFonts w:ascii="Arial" w:cs="Arial" w:eastAsia="Arial" w:hAnsi="Arial"/>
          <w:sz w:val="18"/>
          <w:szCs w:val="18"/>
          <w:color w:val="auto"/>
        </w:rPr>
      </w:pPr>
    </w:p>
    <w:p>
      <w:pPr>
        <w:ind w:left="180" w:right="120" w:firstLine="1287"/>
        <w:spacing w:after="0" w:line="312" w:lineRule="auto"/>
        <w:tabs>
          <w:tab w:leader="none" w:pos="200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Partnership and upon such information, opinions, reports or statements presented to the Covered Person by any Person as to matters the Covered Person reasonably believes are within such other Person’s professional or expert competence and who has been selected with reasonable care by or on behalf of the Partnership of such Covered Person.</w:t>
      </w:r>
    </w:p>
    <w:p>
      <w:pPr>
        <w:spacing w:after="0" w:line="14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Fiduciary Duty</w:t>
      </w:r>
      <w:r>
        <w:rPr>
          <w:rFonts w:ascii="Arial" w:cs="Arial" w:eastAsia="Arial" w:hAnsi="Arial"/>
          <w:sz w:val="17"/>
          <w:szCs w:val="17"/>
          <w:color w:val="auto"/>
        </w:rPr>
        <w:t>.</w:t>
      </w:r>
    </w:p>
    <w:p>
      <w:pPr>
        <w:spacing w:after="0" w:line="225" w:lineRule="exact"/>
        <w:rPr>
          <w:sz w:val="20"/>
          <w:szCs w:val="20"/>
          <w:color w:val="auto"/>
        </w:rPr>
      </w:pPr>
    </w:p>
    <w:p>
      <w:pPr>
        <w:ind w:left="180" w:right="40" w:firstLine="1287"/>
        <w:spacing w:after="0" w:line="312" w:lineRule="auto"/>
        <w:tabs>
          <w:tab w:leader="none" w:pos="199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 the extent that, at law or in equity, a Covered Person has duties (including fiduciary duties) and liabilities relating thereto to the Partnership or to any Partner, a Covered Person acting under this Agreement shall not be liable to the Partnership or to any Partner for its good faith reliance on the provisions of this Agreement. The provisions of this Agreement, to the extent that they restrict the duties and liabilities of a Covered Person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otherwise existing at law or in equity, are agreed by the parties hereto to replace such other duties and liabilities of such Covered Person.</w:t>
      </w:r>
    </w:p>
    <w:p>
      <w:pPr>
        <w:spacing w:after="0" w:line="225" w:lineRule="exact"/>
        <w:rPr>
          <w:sz w:val="20"/>
          <w:szCs w:val="20"/>
          <w:color w:val="auto"/>
        </w:rPr>
      </w:pPr>
    </w:p>
    <w:p>
      <w:pPr>
        <w:ind w:left="180" w:right="220" w:firstLine="1287"/>
        <w:spacing w:after="0" w:line="290" w:lineRule="auto"/>
        <w:tabs>
          <w:tab w:leader="none" w:pos="2001"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otherwise expressly provided herein, (i) whenever a conflict of interest exists or arises between the General Partner and any other Partner the resolution or manner of resolution of which is not specifically provided for herein, or (ii) whenever this Agreement or any other agreement contemplated herein or therein provides that the General Partner shall act in a manner that is, or provides terms that are, fair and reasonable to the Partnership or any Partner, the General Partner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General Partner, the resolution, action or term so made, taken or provided by the General Partner shall not constitute a breach of this Agreement or any other agreement contemplated herein or of any duty or obligation of the General Partner at law or in equity or otherwise.</w:t>
      </w:r>
    </w:p>
    <w:p>
      <w:pPr>
        <w:spacing w:after="0" w:line="166" w:lineRule="exact"/>
        <w:rPr>
          <w:rFonts w:ascii="Arial" w:cs="Arial" w:eastAsia="Arial" w:hAnsi="Arial"/>
          <w:sz w:val="16"/>
          <w:szCs w:val="16"/>
          <w:color w:val="auto"/>
        </w:rPr>
      </w:pPr>
    </w:p>
    <w:p>
      <w:pPr>
        <w:ind w:left="180" w:right="80" w:firstLine="1287"/>
        <w:spacing w:after="0" w:line="276" w:lineRule="auto"/>
        <w:tabs>
          <w:tab w:leader="none" w:pos="1991"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Whenever in this Agreement the General Partner is permitted or required to make a decision (i) in its “sole discretion” or under a grant of similar authority or latitude, the General Partner shall be entitled to consider such interests and factors as it desires, including its own interests, and shall have no duty or obligation to give any consideration to any interest of or factors affecting the Partnership or any other Person, or (ii) in its “good faith”, “reasonable discretion” or under another express standard, the General Partner shall act under such express standard and shall not be subject to any other or different standard imposed by this Agreement or other applicable law.</w:t>
      </w:r>
    </w:p>
    <w:p>
      <w:pPr>
        <w:sectPr>
          <w:pgSz w:w="11900" w:h="16838" w:orient="portrait"/>
          <w:cols w:equalWidth="0" w:num="1">
            <w:col w:w="11420"/>
          </w:cols>
          <w:pgMar w:left="240" w:top="341" w:right="239" w:bottom="0" w:gutter="0" w:footer="0" w:header="0"/>
        </w:sectPr>
      </w:pPr>
    </w:p>
    <w:bookmarkStart w:id="105" w:name="page106"/>
    <w:bookmarkEnd w:id="105"/>
    <w:p>
      <w:pPr>
        <w:ind w:left="180" w:right="100" w:firstLine="1287"/>
        <w:spacing w:after="0" w:line="264" w:lineRule="auto"/>
        <w:tabs>
          <w:tab w:leader="none" w:pos="2001"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Wherever in this Agreement a factual determination is called for and the applicable provision of this Agreement does not indicate what party or parties are to make the applicable factual determination, and/or the applicable standard to be used in making the factual determination, such determination shall be made by the General Partner in the exercise of its good faith discretion.</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fullest extent permitted by applicable law, a Covered Person shall be entitled to indemnification from the Partnership for any loss, damage or claim (including any amounts paid in settlement of any such claims) incurred by such Covered Person by reason of any act or omission performed or omitted by such Covered Person in good faith on behalf of the Partnership and in a manner reasonably believed to be within the scope of authority conferred on such Covered Person by this Agreement, except that no Covered Person shall be entitled to be indemnified in respect of any loss, damage or claim incurred by such Covered Person by reason of any action or inaction of such Covered Person which constituted fraud, gross negligence, bad faith, willful misconduct or a breach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indemnity under this Section 9.4 shall be provided out of and to the extent of Partnership assets only, and no Covered Person shall have any personal liability to provide indemnity on account thereof.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Notice; Opportunity to Defend and Expenses</w:t>
      </w:r>
      <w:r>
        <w:rPr>
          <w:rFonts w:ascii="Arial" w:cs="Arial" w:eastAsia="Arial" w:hAnsi="Arial"/>
          <w:sz w:val="16"/>
          <w:szCs w:val="16"/>
          <w:color w:val="auto"/>
        </w:rPr>
        <w:t>.</w:t>
      </w:r>
    </w:p>
    <w:p>
      <w:pPr>
        <w:spacing w:after="0" w:line="225" w:lineRule="exact"/>
        <w:rPr>
          <w:sz w:val="20"/>
          <w:szCs w:val="20"/>
          <w:color w:val="auto"/>
        </w:rPr>
      </w:pPr>
    </w:p>
    <w:p>
      <w:pPr>
        <w:ind w:left="180" w:firstLine="1287"/>
        <w:spacing w:after="0" w:line="271" w:lineRule="auto"/>
        <w:tabs>
          <w:tab w:leader="none" w:pos="19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Promptly after receipt by any Covered Person from any third party of notice of any demand, claim or circumstance that, immediately or with the lapse of time, would reasonably be expected to give rise to a claim or the commencement (or threatened commencement) of any action, proceeding or investigation (an “</w:t>
      </w:r>
      <w:r>
        <w:rPr>
          <w:rFonts w:ascii="Arial" w:cs="Arial" w:eastAsia="Arial" w:hAnsi="Arial"/>
          <w:sz w:val="17"/>
          <w:szCs w:val="17"/>
          <w:u w:val="single" w:color="auto"/>
          <w:color w:val="auto"/>
        </w:rPr>
        <w:t>Asserted Liability</w:t>
      </w:r>
      <w:r>
        <w:rPr>
          <w:rFonts w:ascii="Arial" w:cs="Arial" w:eastAsia="Arial" w:hAnsi="Arial"/>
          <w:sz w:val="17"/>
          <w:szCs w:val="17"/>
          <w:color w:val="auto"/>
        </w:rPr>
        <w:t>”) that could reasonably be expected to result in any loss, damage or claim with respect to which the Covered Person might be entitled to indemnification from the Partnership under Section 9.4, the Covered Person shall give notice thereof (the “</w:t>
      </w:r>
      <w:r>
        <w:rPr>
          <w:rFonts w:ascii="Arial" w:cs="Arial" w:eastAsia="Arial" w:hAnsi="Arial"/>
          <w:sz w:val="17"/>
          <w:szCs w:val="17"/>
          <w:u w:val="single" w:color="auto"/>
          <w:color w:val="auto"/>
        </w:rPr>
        <w:t>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to the Partnership;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failure to give such notice shall not prejudice the Covered Person’s right to indemnification hereunder except to the extent that the Partnership is actually prejudiced thereby. The Claims Notice shall describe the Asserted Liability in such reasonable detail as is practicable under the circumstances, and shall, to the extent practicable under the circumstances, indicate the amount (estimated, if necessary) of the loss or damage that has been or may be suffered by the Covered Person.</w:t>
      </w:r>
    </w:p>
    <w:p>
      <w:pPr>
        <w:spacing w:after="0" w:line="178" w:lineRule="exact"/>
        <w:rPr>
          <w:rFonts w:ascii="Arial" w:cs="Arial" w:eastAsia="Arial" w:hAnsi="Arial"/>
          <w:sz w:val="17"/>
          <w:szCs w:val="17"/>
          <w:color w:val="auto"/>
        </w:rPr>
      </w:pPr>
    </w:p>
    <w:p>
      <w:pPr>
        <w:ind w:left="180" w:firstLine="1287"/>
        <w:spacing w:after="0" w:line="268" w:lineRule="auto"/>
        <w:tabs>
          <w:tab w:leader="none" w:pos="2001"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Partnership may elect to compromise or defend, at its own expense and by its own counsel, any Asserted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named parties to any action or proceeding include (or could reasonably be expected to include) both the Partnership and a Covered Person, or more than one Covered Persons, and the Partnership is advised that representation of both parties by the same counsel would be inappropriate under applicable standards of professional conduct, the Covered Person may engage separate counsel at the expense of the Partnership. If the Partnership elects to compromise or defend such Asserted Liability, it shall within twenty (20) business days (or sooner, if the nature of the Asserted Liability so requires) notify the Covered Person of its intent to do so, and the Covered Person shall cooperate, at the expense of the Partnership, in the compromise of, or defense against, such Asserted Liability. If the Partnership elects not to compromise or defend the Asserted Liability, fails to notify the Covered Person of its election as herein provided, contests its obligation to provide indemnification under this Agreement, or fails to make or ceases making a good faith and diligent defense, the Covered Person may pay, compromise or defend such Asserted Liability all at the expense of the Covered Person. Except as set forth in the preceding sentence, neither the Partnership nor the Covered Person may settle or compromise any claim over the objection of the 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consent to settlement or compromise shall not be unreasonably withheld. In any event, the Partnership and the Covered Person may participate at their own expense, in the defense of such Asserted Liability. If the Covered Person chooses to participate in the defense of any claim, the Covered Person shall make available to the Partnership any books, records or other documents within its control that are necessary or appropriate for such defense, all at the expense of the Partnership.</w:t>
      </w:r>
    </w:p>
    <w:p>
      <w:pPr>
        <w:spacing w:after="0" w:line="185" w:lineRule="exact"/>
        <w:rPr>
          <w:rFonts w:ascii="Arial" w:cs="Arial" w:eastAsia="Arial" w:hAnsi="Arial"/>
          <w:sz w:val="17"/>
          <w:szCs w:val="17"/>
          <w:color w:val="auto"/>
        </w:rPr>
      </w:pPr>
    </w:p>
    <w:p>
      <w:pPr>
        <w:ind w:left="180" w:right="140" w:firstLine="1287"/>
        <w:spacing w:after="0" w:line="255" w:lineRule="auto"/>
        <w:tabs>
          <w:tab w:leader="none" w:pos="1991"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Partnership elects not to compromise or defend an Asserted Liability, or fails to notify the Covered Person of its election as above provided, then, to the fullest extent permitted by applicable law, expenses (including legal fees) incurred by a Covered Person in defending any Asserted Liability, shall, from time to time, be advanced by the Partnership prior to the final disposition of such claim, demand, action, suit or proceeding upon satisfaction of any conditions required by applicable law and receipt by the Partnership of an undertaking by or on behalf of the Covered Person to repay such amount if it shall be determined that the Covered Person is not entitled to be indemnified as authorized in Section 9.4. The Partnership may, if the General Partner deems it appropriate, require any Covered Person for whom expenses are advanced, to deliver adequate security to the Partnership for his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obligation to repay such indemnification.</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left="180" w:right="240" w:firstLine="1287"/>
        <w:spacing w:after="0" w:line="342" w:lineRule="auto"/>
        <w:tabs>
          <w:tab w:leader="none" w:pos="199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right of indemnification hereby provided shall not be exclusive of, and shall not affect, any other rights to which a Covered Person may be entitled. Nothing contained in this Article IX shall limit any lawful rights to indemnification existing independently of this Article IX.</w:t>
      </w:r>
    </w:p>
    <w:p>
      <w:pPr>
        <w:spacing w:after="0" w:line="123" w:lineRule="exact"/>
        <w:rPr>
          <w:rFonts w:ascii="Arial" w:cs="Arial" w:eastAsia="Arial" w:hAnsi="Arial"/>
          <w:sz w:val="16"/>
          <w:szCs w:val="16"/>
          <w:color w:val="auto"/>
        </w:rPr>
      </w:pPr>
    </w:p>
    <w:p>
      <w:pPr>
        <w:ind w:left="180" w:right="40" w:firstLine="1287"/>
        <w:spacing w:after="0" w:line="276" w:lineRule="auto"/>
        <w:tabs>
          <w:tab w:leader="none" w:pos="2001"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indemnification rights provided by this Article IX shall also inure to the benefit of the heirs, executors, administrators, successors and assigns of a Covered Person and any officers, directors, partners, shareholders, employees and Affiliates of such Covered Person (and any former officer, director, member, shareholder or employee of such Covered Person, if the loss, damage or claim was incurred while such person was an officer, director, member, shareholder or employee of such Covered Person). The General Partner may extend the indemnification called for by Section 9.4 to non-employee agents of the Partnership, the General Partner or its Affiliates.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 - MISCELLANEOUS.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Delivery of AMG Shares</w:t>
      </w:r>
      <w:r>
        <w:rPr>
          <w:rFonts w:ascii="Arial" w:cs="Arial" w:eastAsia="Arial" w:hAnsi="Arial"/>
          <w:sz w:val="17"/>
          <w:szCs w:val="17"/>
          <w:color w:val="auto"/>
        </w:rPr>
        <w:t>. In the event that the General Partner elects to pay all or any portion of a Purchase Price by the delivery of AMG Shares, the number of AMG Shares required to be delivered by the General Partner shall be equal to the quotient obtained by dividing (i) that portion of the Purchase Price to be paid in AMG Shares by (ii) the Average AMG Stock Price. In the event that there is a stock split (or reverse stock split), stock dividend or other similar event during the relevant measuring periods under the foregoing calculation, equitable and appropriate adjustments shall be made in the application of such calculation of the Average AMG Stock Price to take account of such event.</w:t>
      </w:r>
    </w:p>
    <w:p>
      <w:pPr>
        <w:sectPr>
          <w:pgSz w:w="11900" w:h="16838" w:orient="portrait"/>
          <w:cols w:equalWidth="0" w:num="1">
            <w:col w:w="11420"/>
          </w:cols>
          <w:pgMar w:left="240" w:top="125" w:right="239" w:bottom="0" w:gutter="0" w:footer="0" w:header="0"/>
        </w:sectPr>
      </w:pPr>
    </w:p>
    <w:bookmarkStart w:id="106" w:name="page107"/>
    <w:bookmarkEnd w:id="106"/>
    <w:p>
      <w:pPr>
        <w:ind w:right="20" w:firstLine="648"/>
        <w:spacing w:after="0" w:line="291"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statements, requests, elections, consents or demands permitted or required to be made under this Agreement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shall be in writing, signed by the Person or Persons giving such notice, statement, request, election, consent or demand and shall be delivered personally or by confirmed facsimile, or sent by registered or certified mail, or by commercial courier to the other Partners, at their addresses set forth on the signature pages hereof or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at such other addresses as may be supplied by written notice given in conformity with the terms of this Section 10.2. All Notices to the Partnership shall be made to the General Partner c/o John Kingston III, Affiliated Managers Group, Inc., 600 Hale Street, Prides Crossing, Massachusetts 01965. The date of any such personal or facsimile delivery or the date of delivery by an overnight courier or the date five (5) days after the date of mailing by registered or certified mail, as the case may be, shall be the date of such notice.</w:t>
      </w:r>
    </w:p>
    <w:p>
      <w:pPr>
        <w:spacing w:after="0" w:line="16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the restrictions on Transfer set forth herein, this Agreement shall be binding upon and shall inure to the benefit of the Partners, their respective successors, successors-in-title, heirs and assigns, and each and every successor-in-interest to any Partner, whether such successor acquires such interest by way of gift,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purchase, foreclosure or by any other method, and each shall hold such interest subject to all of the terms and provisions of this Agreement.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Amendments may be made to this Agreement only with (a) a Supermajority Limited Partner Vote and (b) the prior written consent of the General Partner;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the vote, consent or approval of any Partner, (x) the General Partner shall make such amendments and additions to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as are required by the provisions hereof, and (y) the General Partner may amend this Agreement to correct any printing, stenographic or clerical errors or omissions. Except as otherwise specifically provided for herein, (a) an amendment or a modification increasing any liability of a Partner to the Partnership or the other Partners, or adversely affecting the limitation of the liability of a Partner with respect to the Partnership, shall be effective only with that Partner’s prior written consent, and (b) an amendment or modification that by its explicit terms would alter or change the rights, obligations, powers or preferences of any Partner in a disproportionate and adverse manner compared to other Partners, shall be effective only with the prior written consent of the Partner which would be so affected.</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 Partition</w:t>
      </w:r>
      <w:r>
        <w:rPr>
          <w:rFonts w:ascii="Arial" w:cs="Arial" w:eastAsia="Arial" w:hAnsi="Arial"/>
          <w:sz w:val="18"/>
          <w:szCs w:val="18"/>
          <w:color w:val="auto"/>
        </w:rPr>
        <w:t>. No Partner nor any successor-in-interest to any Partner, shall have the right while this Agreement remains in effect to have the property of the Partnership partitioned, or to file a complaint or institute any proceeding at law or in equity to have the property of the Partnership partitioned, and each Partner, on behalf of himself, his successors, representatives, heirs and assigns, hereby waives any such right. It is the intent of the Partners that during the term of this Agreement, the rights of the Partners and their successors-in-interest, as among themselves, shall be governed by the terms of this Agreement, and that the right of any Partner or successors-in-interest to Transfer or otherwise dispose of his interest in the Partnership shall be subject to the limitations and restrictions of this Agreement.</w:t>
      </w:r>
    </w:p>
    <w:p>
      <w:pPr>
        <w:spacing w:after="0" w:line="1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 The failure of any Partner to insist upon strict performance of a covenant hereunder or of any obligation hereunder, irrespective of the length of time for which such failure continues, shall not be a waiver of such Partner’s right to demand strict compliance in the future. No consent or waiver, express or implied, to or of any breach or default in the performance of any obligation hereunder, shall constitute a consent or waiver to or of any other breach or default in the performance of the same or any other obligation hereunder. For the avoidance of doubt, the General Partner may in its sole discretion waive any requirement or obligation hereunder (including, without limitation, under Section 6.4) with respect to any particular Limited Partner without waiving such requirement or obligation with respect to any other Limited Partner.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 Resolution</w:t>
      </w:r>
      <w:r>
        <w:rPr>
          <w:rFonts w:ascii="Arial" w:cs="Arial" w:eastAsia="Arial" w:hAnsi="Arial"/>
          <w:sz w:val="18"/>
          <w:szCs w:val="18"/>
          <w:color w:val="auto"/>
        </w:rPr>
        <w:t>. All disputes arising in connection with this Agreement shall be resolved by binding arbitration in accordance with the Commercial Arbitration Rules of the American Arbitration Association. The arbitration shall be held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Boston, Massachusetts before a single arbitrator selected by the General Partner, who shall have substantial business experience in the investment advisory industry.</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Prior Agreements Superseded</w:t>
      </w:r>
      <w:r>
        <w:rPr>
          <w:rFonts w:ascii="Arial" w:cs="Arial" w:eastAsia="Arial" w:hAnsi="Arial"/>
          <w:sz w:val="18"/>
          <w:szCs w:val="18"/>
          <w:color w:val="auto"/>
        </w:rPr>
        <w:t>. This Agreement and the schedules and exhibits hereto supersede the prior understandings and agreements among the parties with respect to the subject matter hereof.</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Captions</w:t>
      </w:r>
      <w:r>
        <w:rPr>
          <w:rFonts w:ascii="Arial" w:cs="Arial" w:eastAsia="Arial" w:hAnsi="Arial"/>
          <w:sz w:val="18"/>
          <w:szCs w:val="18"/>
          <w:color w:val="auto"/>
        </w:rPr>
        <w:t>. Titles or captions of Articles or Sections contained in this Agreement are inserted as a matter of convenience and for reference, and in no way define, limit, extend or describe the scope of this Agreement or the intent of any provision hereof.</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 number of counterparts, all of which together shall for all purposes constitute one Agreement, binding on all the Partners notwithstanding that all Partners have not signed the same counterpart.</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parties hereunder shall be governed by and interpreted, construed and enforced in accordance with the laws of the State of Delaware, without applying the choice of law or conflicts of law provisions thereof.</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Interpretation</w:t>
      </w:r>
      <w:r>
        <w:rPr>
          <w:rFonts w:ascii="Arial" w:cs="Arial" w:eastAsia="Arial" w:hAnsi="Arial"/>
          <w:sz w:val="18"/>
          <w:szCs w:val="18"/>
          <w:color w:val="auto"/>
        </w:rPr>
        <w:t>. All terms herein using the singular shall include the plural; all terms using the plural shall include the singular; in each case, the term shall be as appropriate to the context of each sentence. Throughout this Agreement, nouns, pronouns and verbs shall be construed as masculine, feminine and neuter, whichever shall be applicable.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Exhibits and Schedules</w:t>
      </w:r>
      <w:r>
        <w:rPr>
          <w:rFonts w:ascii="Arial" w:cs="Arial" w:eastAsia="Arial" w:hAnsi="Arial"/>
          <w:sz w:val="16"/>
          <w:szCs w:val="16"/>
          <w:color w:val="auto"/>
        </w:rPr>
        <w:t>.</w:t>
      </w:r>
    </w:p>
    <w:p>
      <w:pPr>
        <w:spacing w:after="0" w:line="225" w:lineRule="exact"/>
        <w:rPr>
          <w:sz w:val="20"/>
          <w:szCs w:val="20"/>
          <w:color w:val="auto"/>
        </w:rPr>
      </w:pPr>
    </w:p>
    <w:p>
      <w:pPr>
        <w:ind w:left="180" w:right="20" w:firstLine="1287"/>
        <w:spacing w:after="0" w:line="312" w:lineRule="auto"/>
        <w:tabs>
          <w:tab w:leader="none" w:pos="19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name, Partnership Points, and vesting schedule with respect to Partnership Points that are not vested, of each Partner shall be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General Partner shall update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from time to time as necessary to reflect accurately the information to be contained therein. Any amendment or revision to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shall not be deemed an amendment to this Agreement. Any</w:t>
      </w:r>
    </w:p>
    <w:p>
      <w:pPr>
        <w:sectPr>
          <w:pgSz w:w="11900" w:h="16838" w:orient="portrait"/>
          <w:cols w:equalWidth="0" w:num="1">
            <w:col w:w="11360"/>
          </w:cols>
          <w:pgMar w:left="240" w:top="125" w:right="299" w:bottom="0" w:gutter="0" w:footer="0" w:header="0"/>
        </w:sectPr>
      </w:pPr>
    </w:p>
    <w:bookmarkStart w:id="107" w:name="page108"/>
    <w:bookmarkEnd w:id="107"/>
    <w:p>
      <w:pPr>
        <w:ind w:left="180" w:right="320"/>
        <w:spacing w:after="0" w:line="277" w:lineRule="auto"/>
        <w:rPr>
          <w:sz w:val="20"/>
          <w:szCs w:val="20"/>
          <w:color w:val="auto"/>
        </w:rPr>
      </w:pPr>
      <w:r>
        <w:rPr>
          <w:rFonts w:ascii="Arial" w:cs="Arial" w:eastAsia="Arial" w:hAnsi="Arial"/>
          <w:sz w:val="18"/>
          <w:szCs w:val="18"/>
          <w:color w:val="auto"/>
        </w:rPr>
        <w:t xml:space="preserve">reference in this Agreement to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shall be deemed to be a reference to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as amended and in effect from time to time.</w:t>
      </w:r>
    </w:p>
    <w:p>
      <w:pPr>
        <w:spacing w:after="0" w:line="170" w:lineRule="exact"/>
        <w:rPr>
          <w:sz w:val="20"/>
          <w:szCs w:val="20"/>
          <w:color w:val="auto"/>
        </w:rPr>
      </w:pPr>
    </w:p>
    <w:p>
      <w:pPr>
        <w:ind w:firstLine="1305"/>
        <w:spacing w:after="0" w:line="291" w:lineRule="auto"/>
        <w:tabs>
          <w:tab w:leader="none" w:pos="19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All Exhibits and Schedules attached to this Agreement are incorporated and shall be treated as if set forth herein. Only the General Partner shall have the right to review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each Limited Partner expressly waives its rights under the Act (including, without limitation, under Section 17-305 thereof) to review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acknowledges and agrees that such waiver is reasonable in light of the interests of the Partnership and its Partners). Each Limited Partner shall have the right to receive a copy of this Agreement and the Exhibits and Schedules attached hereto, provided that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will be redacted as to names, Partnership Points, vesting schedule with respect to Partnership Points that are not vested, and any other information regarding the other Partners, and such Limited Partner shall have the right to review only that information regarding such Limited Partner’s own Partnership Points and vesting schedule with respect to Partnership Points that are not vested. Notwithstanding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foregoing, the General Partner may furnish to any one or more Limited Partners (and to the exclusion of any one or more other Limited Partners) such additional information relating to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as the General Partner determines from time to time.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particular provision of this Agreement shall not affect the other provisions hereof, and this Agreement shall be construed in all respects as if such invalid or unenforceable provision were omitted.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Creditors</w:t>
      </w:r>
      <w:r>
        <w:rPr>
          <w:rFonts w:ascii="Arial" w:cs="Arial" w:eastAsia="Arial" w:hAnsi="Arial"/>
          <w:sz w:val="18"/>
          <w:szCs w:val="18"/>
          <w:color w:val="auto"/>
        </w:rPr>
        <w:t>. None of the provisions of this Agreement shall be for the benefit of or enforceable by any creditor of (a) any Partner, or (b) the Partnership, other than a Partner who is also a creditor of the Partnership.</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Guaranty of AMG</w:t>
      </w:r>
      <w:r>
        <w:rPr>
          <w:rFonts w:ascii="Arial" w:cs="Arial" w:eastAsia="Arial" w:hAnsi="Arial"/>
          <w:sz w:val="18"/>
          <w:szCs w:val="18"/>
          <w:color w:val="auto"/>
        </w:rPr>
        <w:t>. AMG hereby unconditionally and irrevocably guarantees the timely performance by the General Partner of its obligations under Section 6.4.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Partners have executed and delivered this Agreement as of the Effective Time.</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LTEIP 2011 GP HOLDINGS CORP.</w:t>
      </w: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940" w:type="dxa"/>
            <w:vAlign w:val="bottom"/>
          </w:tcPr>
          <w:p>
            <w:pPr>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994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Solely for purposes of Section 2.10: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LTEIP LP HOLDINGS,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Affiliated Managers Group, Inc., its Manager and Sole Member</w:t>
      </w: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920" w:type="dxa"/>
            <w:vAlign w:val="bottom"/>
          </w:tcPr>
          <w:p>
            <w:pPr>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9920" w:type="dxa"/>
            <w:vAlign w:val="bottom"/>
          </w:tcPr>
          <w:p>
            <w:pPr>
              <w:spacing w:after="0"/>
              <w:rPr>
                <w:sz w:val="20"/>
                <w:szCs w:val="20"/>
                <w:color w:val="auto"/>
              </w:rPr>
            </w:pPr>
            <w:r>
              <w:rPr>
                <w:rFonts w:ascii="Arial" w:cs="Arial" w:eastAsia="Arial" w:hAnsi="Arial"/>
                <w:sz w:val="18"/>
                <w:szCs w:val="18"/>
                <w:color w:val="auto"/>
              </w:rPr>
              <w:t>Vice Chairman and General Counsel</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Solely for purposes of Sections 2.8, 2.9 and 10.16: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Kingston, III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880" w:type="dxa"/>
            <w:vAlign w:val="bottom"/>
          </w:tcPr>
          <w:p>
            <w:pPr>
              <w:spacing w:after="0" w:line="195" w:lineRule="exact"/>
              <w:rPr>
                <w:sz w:val="20"/>
                <w:szCs w:val="20"/>
                <w:color w:val="auto"/>
              </w:rPr>
            </w:pPr>
            <w:r>
              <w:rPr>
                <w:rFonts w:ascii="Arial" w:cs="Arial" w:eastAsia="Arial" w:hAnsi="Arial"/>
                <w:sz w:val="18"/>
                <w:szCs w:val="18"/>
                <w:color w:val="auto"/>
              </w:rPr>
              <w:t>John Kingston, III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9880" w:type="dxa"/>
            <w:vAlign w:val="bottom"/>
          </w:tcPr>
          <w:p>
            <w:pPr>
              <w:spacing w:after="0"/>
              <w:rPr>
                <w:sz w:val="20"/>
                <w:szCs w:val="20"/>
                <w:color w:val="auto"/>
              </w:rPr>
            </w:pPr>
            <w:r>
              <w:rPr>
                <w:rFonts w:ascii="Arial" w:cs="Arial" w:eastAsia="Arial" w:hAnsi="Arial"/>
                <w:sz w:val="18"/>
                <w:szCs w:val="18"/>
                <w:color w:val="auto"/>
              </w:rPr>
              <w:t>Vice Chairman and General Counsel</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shall mean the Investment Company Act of 1940, as it may be amended from time to time, and any successor to such act.</w:t>
      </w:r>
    </w:p>
    <w:p>
      <w:pPr>
        <w:sectPr>
          <w:pgSz w:w="11900" w:h="16838" w:orient="portrait"/>
          <w:cols w:equalWidth="0" w:num="1">
            <w:col w:w="11420"/>
          </w:cols>
          <w:pgMar w:left="240" w:top="125" w:right="239" w:bottom="167" w:gutter="0" w:footer="0" w:header="0"/>
        </w:sectPr>
      </w:pPr>
    </w:p>
    <w:bookmarkStart w:id="108" w:name="page109"/>
    <w:bookmarkEnd w:id="108"/>
    <w:p>
      <w:pPr>
        <w:spacing w:after="0" w:line="11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shall mean the Delaware Revised Uniform Limited Partnership Act, 6 </w:t>
      </w:r>
      <w:r>
        <w:rPr>
          <w:rFonts w:ascii="Arial" w:cs="Arial" w:eastAsia="Arial" w:hAnsi="Arial"/>
          <w:sz w:val="18"/>
          <w:szCs w:val="18"/>
          <w:u w:val="single" w:color="auto"/>
          <w:color w:val="auto"/>
        </w:rPr>
        <w:t>Del. C</w:t>
      </w:r>
      <w:r>
        <w:rPr>
          <w:rFonts w:ascii="Arial" w:cs="Arial" w:eastAsia="Arial" w:hAnsi="Arial"/>
          <w:sz w:val="18"/>
          <w:szCs w:val="18"/>
          <w:color w:val="auto"/>
        </w:rPr>
        <w:t xml:space="preserve">. §17-101, </w:t>
      </w:r>
      <w:r>
        <w:rPr>
          <w:rFonts w:ascii="Arial" w:cs="Arial" w:eastAsia="Arial" w:hAnsi="Arial"/>
          <w:sz w:val="18"/>
          <w:szCs w:val="18"/>
          <w:u w:val="single" w:color="auto"/>
          <w:color w:val="auto"/>
        </w:rPr>
        <w:t>et seq</w:t>
      </w:r>
      <w:r>
        <w:rPr>
          <w:rFonts w:ascii="Arial" w:cs="Arial" w:eastAsia="Arial" w:hAnsi="Arial"/>
          <w:sz w:val="18"/>
          <w:szCs w:val="18"/>
          <w:color w:val="auto"/>
        </w:rPr>
        <w:t>. (as it may be amended from time to time and any successor to such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Advisers Act</w:t>
      </w:r>
      <w:r>
        <w:rPr>
          <w:rFonts w:ascii="Arial" w:cs="Arial" w:eastAsia="Arial" w:hAnsi="Arial"/>
          <w:sz w:val="17"/>
          <w:szCs w:val="17"/>
          <w:color w:val="auto"/>
        </w:rPr>
        <w:t>” shall mean the Investment Advisers Act of 1940, as it may be amended from time to time, and any successor to such act.</w:t>
      </w:r>
    </w:p>
    <w:p>
      <w:pPr>
        <w:spacing w:after="0" w:line="2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(herein the “first party”), any other Person that directly or indirectly controls, or is controlled by, or is under common control with, such first party. The term “control” as used herein (including the terms “controlled by” and “under common control with”) means the possession, directly or indirectly, of the power to (a) vote or dispose of, or direct the voting or disposition of, twenty-five percent (25%) or more of the outstanding voting securities of such Person, or (b) otherwise direct the management or policies (or exercise approval rights over certain fundamental matters) of such Person by contract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specified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AMG</w:t>
      </w:r>
      <w:r>
        <w:rPr>
          <w:rFonts w:ascii="Arial" w:cs="Arial" w:eastAsia="Arial" w:hAnsi="Arial"/>
          <w:sz w:val="18"/>
          <w:szCs w:val="18"/>
          <w:color w:val="auto"/>
        </w:rPr>
        <w:t>” shall have the meaning specified in the preamble of this Agreement.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AMG Shares</w:t>
      </w:r>
      <w:r>
        <w:rPr>
          <w:rFonts w:ascii="Arial" w:cs="Arial" w:eastAsia="Arial" w:hAnsi="Arial"/>
          <w:sz w:val="17"/>
          <w:szCs w:val="17"/>
          <w:color w:val="auto"/>
        </w:rPr>
        <w:t>” shall mean shares of AMG’s common stock which are at the time of issuance, and for at least twenty (20) days thereafter, listed on a national or international securities exchange (and not at the time of issuance subject to de-listing or removal for failure to meet public float or share price requirements) and eligible to be sold pursuant to a resale shelf or other registration statement under the Securities Act (subject to customary restrictions applicable to the use of a resale shelf or other applicable type of registration statement, as applicable).</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AMG Affiliates</w:t>
      </w:r>
      <w:r>
        <w:rPr>
          <w:rFonts w:ascii="Arial" w:cs="Arial" w:eastAsia="Arial" w:hAnsi="Arial"/>
          <w:sz w:val="18"/>
          <w:szCs w:val="18"/>
          <w:color w:val="auto"/>
        </w:rPr>
        <w:t xml:space="preserve">” shall mean each of the Persons set forth on </w:t>
      </w:r>
      <w:r>
        <w:rPr>
          <w:rFonts w:ascii="Arial" w:cs="Arial" w:eastAsia="Arial" w:hAnsi="Arial"/>
          <w:sz w:val="18"/>
          <w:szCs w:val="18"/>
          <w:u w:val="single" w:color="auto"/>
          <w:color w:val="auto"/>
        </w:rPr>
        <w:t>Part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Part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under the headings “Name of Extant AMG Affiliate” and “Name of New AMG Affiliate,” respectively.</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Holding Company</w:t>
      </w:r>
      <w:r>
        <w:rPr>
          <w:rFonts w:ascii="Arial" w:cs="Arial" w:eastAsia="Arial" w:hAnsi="Arial"/>
          <w:sz w:val="18"/>
          <w:szCs w:val="18"/>
          <w:color w:val="auto"/>
        </w:rPr>
        <w:t xml:space="preserve">” shall mean, with respect to any Applicable AMG Affiliate, the Person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opposite such Applicable AMG Affiliate’s name.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Asserted Liability</w:t>
      </w:r>
      <w:r>
        <w:rPr>
          <w:rFonts w:ascii="Arial" w:cs="Arial" w:eastAsia="Arial" w:hAnsi="Arial"/>
          <w:sz w:val="18"/>
          <w:szCs w:val="18"/>
          <w:color w:val="auto"/>
        </w:rPr>
        <w:t>” shall have the meaning specified in Section 9.5(a).</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AMG Stock Price</w:t>
      </w:r>
      <w:r>
        <w:rPr>
          <w:rFonts w:ascii="Arial" w:cs="Arial" w:eastAsia="Arial" w:hAnsi="Arial"/>
          <w:sz w:val="18"/>
          <w:szCs w:val="18"/>
          <w:color w:val="auto"/>
        </w:rPr>
        <w:t>” shall mean the average (arithmetic mean) Stock Price of AMG Shares during the twenty (20) consecutive trading days ending on (and including) the third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complete trading day immediately prior to the applicable Purchase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w:t>
      </w:r>
      <w:r>
        <w:rPr>
          <w:rFonts w:ascii="Arial" w:cs="Arial" w:eastAsia="Arial" w:hAnsi="Arial"/>
          <w:sz w:val="18"/>
          <w:szCs w:val="18"/>
          <w:color w:val="auto"/>
        </w:rPr>
        <w:t>” shall have the meaning specified in Section 6.4(c).</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shall mean the capital account maintained by the Partnership for each Partner in accordance with the capital accounting rules described in Section 4.2.</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shall mean, as to each Partner, the aggregate amount of cash and the Fair Market Value of any property contributed to the capital of the Partnership by such Partner (or any prior holders of the Capital Account of such Partner).</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Loss</w:t>
      </w:r>
      <w:r>
        <w:rPr>
          <w:rFonts w:ascii="Arial" w:cs="Arial" w:eastAsia="Arial" w:hAnsi="Arial"/>
          <w:sz w:val="18"/>
          <w:szCs w:val="18"/>
          <w:color w:val="auto"/>
        </w:rPr>
        <w:t>” shall mean, in respect of each asset of the Partnership (upon a sale, exchange or other disposition of such asset), the shortfall (if any) of such amounts received in respect of the disposition of such asset below its Effective Time FMV.</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Surplus</w:t>
      </w:r>
      <w:r>
        <w:rPr>
          <w:rFonts w:ascii="Arial" w:cs="Arial" w:eastAsia="Arial" w:hAnsi="Arial"/>
          <w:sz w:val="18"/>
          <w:szCs w:val="18"/>
          <w:color w:val="auto"/>
        </w:rPr>
        <w:t>” shall mean, in respect of each asset of the Partnership (upon the sale, exchange or other disposition of such asset) the excess (if any) of amounts received in respect of the disposition of such asset over its Effective Time FMV.</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Payment</w:t>
      </w:r>
      <w:r>
        <w:rPr>
          <w:rFonts w:ascii="Arial" w:cs="Arial" w:eastAsia="Arial" w:hAnsi="Arial"/>
          <w:sz w:val="16"/>
          <w:szCs w:val="16"/>
          <w:color w:val="auto"/>
        </w:rPr>
        <w:t>” shall mean a payment in immediately available funds by check or wire transfer in lawful money of the United States of America to an account designated in writing by the applicable Limited Partner to the General Partner at least two (2) business days prior to applicable Purchase Date.</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shall mean the Certificate of Limited Partnership of the Partnership required under the Act, as such Certificate may be amended and/or restated from time to time.</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any one of the following events: (i) any “person,” as such term is used in Sections 13(d) and 14(d) of the Exchange Act (other than AMG, any of its Affiliates, or any trustee, fiduciary or other person or entity holding securities under any employee benefit plan or trust of AMG or any of its Affiliates), together with all “affiliates” and “associates” (as such terms are defined in Rule 12b-2 under the Exchange Act) of such person, shall become the “beneficial owner” (as such term is defined in Rule 13d-3 under the Exchange Act), directly or indirectly, of securities of AMG representing twenty-five percent (25%) or more of the combined voting power of AMG’s then outstanding securities having the right to vote in an election of AMG’s Board of Directors (“</w:t>
      </w:r>
      <w:r>
        <w:rPr>
          <w:rFonts w:ascii="Arial" w:cs="Arial" w:eastAsia="Arial" w:hAnsi="Arial"/>
          <w:sz w:val="16"/>
          <w:szCs w:val="16"/>
          <w:u w:val="single" w:color="auto"/>
          <w:color w:val="auto"/>
        </w:rPr>
        <w:t>Voting Securities</w:t>
      </w:r>
      <w:r>
        <w:rPr>
          <w:rFonts w:ascii="Arial" w:cs="Arial" w:eastAsia="Arial" w:hAnsi="Arial"/>
          <w:sz w:val="16"/>
          <w:szCs w:val="16"/>
          <w:color w:val="auto"/>
        </w:rPr>
        <w:t>”) (in such case other than as a result of an acquisition of securities directly from AMG); or (ii) the consummation of (A) any consolidation or merger of AMG where the stockholders of AMG, immediately prior to the consolidation or merger, would not, immediately after the consolidation or merger, beneficially own (as such term is defined in Rule 13d-3 under the Exchange Act), directly or indirectly, shares representing in the aggregate fifty percent (50%) or more of the voting shares of the corporation (or other business entity) issuing cash or securities in the consolidation or merger (or of its ultimate parent, if any), (B) any sale, lease, exchange or other transfer (in one transaction or a series of transactions contemplated or arranged by any party as a single plan) of all or substantially all of the assets of AMG, or (C) the liquidation or dissolution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of AMG. Notwithstanding the foregoing, a “Change of Control” shall not be deemed to have occurred for purposes of the foregoing clause (i) solely as the result of an acquisition of securities by AMG which, by reducing the number of shares of Voting Securities outstanding, increases the proportionate number of shares of Voting Securities beneficially owned by any person to twenty-five percent (25%) or more of the combined voting power of all then outstanding</w:t>
      </w:r>
    </w:p>
    <w:p>
      <w:pPr>
        <w:sectPr>
          <w:pgSz w:w="11900" w:h="16952" w:orient="portrait"/>
          <w:cols w:equalWidth="0" w:num="1">
            <w:col w:w="11420"/>
          </w:cols>
          <w:pgMar w:left="240" w:top="125" w:right="239" w:bottom="0" w:gutter="0" w:footer="0" w:header="0"/>
        </w:sectPr>
      </w:pPr>
    </w:p>
    <w:bookmarkStart w:id="109" w:name="page110"/>
    <w:bookmarkEnd w:id="109"/>
    <w:p>
      <w:pPr>
        <w:ind w:right="80"/>
        <w:spacing w:after="0" w:line="264" w:lineRule="auto"/>
        <w:rPr>
          <w:sz w:val="20"/>
          <w:szCs w:val="20"/>
          <w:color w:val="auto"/>
        </w:rPr>
      </w:pPr>
      <w:r>
        <w:rPr>
          <w:rFonts w:ascii="Arial" w:cs="Arial" w:eastAsia="Arial" w:hAnsi="Arial"/>
          <w:sz w:val="18"/>
          <w:szCs w:val="18"/>
          <w:color w:val="auto"/>
        </w:rPr>
        <w:t xml:space="preserve">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person referred to in this sentence shall thereafter become the beneficial owner of any additional shares of Voting Securities (other than pursuant to a stock split, stock dividend, or similar transaction or as a result of an acquisition of securities directly from AMG), then a “Change of Control” shall be deemed to have occurred for purposes of the foregoing clause (i).</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 Notice</w:t>
      </w:r>
      <w:r>
        <w:rPr>
          <w:rFonts w:ascii="Arial" w:cs="Arial" w:eastAsia="Arial" w:hAnsi="Arial"/>
          <w:sz w:val="18"/>
          <w:szCs w:val="18"/>
          <w:color w:val="auto"/>
        </w:rPr>
        <w:t>” shall have the meaning specified in Section 9.5(a).</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 or “Internal Revenue Code</w:t>
      </w:r>
      <w:r>
        <w:rPr>
          <w:rFonts w:ascii="Arial" w:cs="Arial" w:eastAsia="Arial" w:hAnsi="Arial"/>
          <w:sz w:val="18"/>
          <w:szCs w:val="18"/>
          <w:color w:val="auto"/>
        </w:rPr>
        <w:t>” shall mean the United States Internal Revenue Code of 1986, as from time to time amended, and any successor code thereto. A reference to a specific section of the Code refers not only to such specific section but also to any corresponding provision of any federal tax statute enacted after the Effective Time, as such specific section or corresponding provision is in effect on the date of application of the provisions of this Agreement containing such reference.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 Expense</w:t>
      </w:r>
      <w:r>
        <w:rPr>
          <w:rFonts w:ascii="Arial" w:cs="Arial" w:eastAsia="Arial" w:hAnsi="Arial"/>
          <w:sz w:val="18"/>
          <w:szCs w:val="18"/>
          <w:color w:val="auto"/>
        </w:rPr>
        <w:t>” shall have the meaning specified in Section 4.2(e).</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Business</w:t>
      </w:r>
      <w:r>
        <w:rPr>
          <w:rFonts w:ascii="Arial" w:cs="Arial" w:eastAsia="Arial" w:hAnsi="Arial"/>
          <w:sz w:val="16"/>
          <w:szCs w:val="16"/>
          <w:color w:val="auto"/>
        </w:rPr>
        <w:t>” shall mean a business or a division of a business conducted anywhere in the United States of America which, as a primary or substantial part of its business, invests in, or undertakes other similar and related activities with respect to, investment managers and advisers.</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Activity</w:t>
      </w:r>
      <w:r>
        <w:rPr>
          <w:rFonts w:ascii="Arial" w:cs="Arial" w:eastAsia="Arial" w:hAnsi="Arial"/>
          <w:sz w:val="17"/>
          <w:szCs w:val="17"/>
          <w:color w:val="auto"/>
        </w:rPr>
        <w:t>” shall mean, with respect to any Limited Partner, (i) directly or indirectly, whether as owner, partner, shareholder, member, consultant, agent, employee, co-venturer or otherwise, engaging, participating or investing in any Competing Business (provided, however, that (A) acting as an agent for a Competing Business in the course of such Limited Partner’s employment for a business which is not a Competing Business shall not constitute “Competitive Activity” for purposes of this Agreement, and (B) such Limited Partner may own up to five percent (5%) of the outstanding stock of a publicly held corporation which constitutes or is affiliated with a Competing Business); (ii) directly or indirectly, taking any action to negotiate or discuss with any person or entity or solicit or entertain from any person or entity, any investment, purchase, proposal, offer or indication of interest regarding (A) any investment in any entity in which AMG or any of its subsidiaries or Affiliates holds any securities or other investment interests or (B) any investment in any other entity with whom AMG or any of its subsidiaries or Affiliates is or was discussing or negotiating any possible investment therein at any time during the one (1) year preceding the termination of such Limited Partner’s employment with AMG or any of its subsidiaries or Affiliates; (iii) directly or indirectly, employing, attempting to employ, recruiting or otherwise soliciting, inducing or influencing any person to leave employment with AMG and its subsidiaries or Affiliates (other than terminations of</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employment of subordinate employees undertaken in the course of such Limited Partner’s employment with AMG or any of its subsidiaries or Affiliates); or</w:t>
      </w:r>
    </w:p>
    <w:p>
      <w:pPr>
        <w:spacing w:after="0" w:line="46" w:lineRule="exact"/>
        <w:rPr>
          <w:sz w:val="20"/>
          <w:szCs w:val="20"/>
          <w:color w:val="auto"/>
        </w:rPr>
      </w:pPr>
    </w:p>
    <w:p>
      <w:pPr>
        <w:ind w:right="440" w:firstLine="8"/>
        <w:spacing w:after="0" w:line="261" w:lineRule="auto"/>
        <w:tabs>
          <w:tab w:leader="none" w:pos="3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soliciting or encouraging any client or other person or entity to terminate or otherwise modify adversely its business relationship with AMG and its subsidiaries and Affiliates.</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Affiliate</w:t>
      </w:r>
      <w:r>
        <w:rPr>
          <w:rFonts w:ascii="Arial" w:cs="Arial" w:eastAsia="Arial" w:hAnsi="Arial"/>
          <w:sz w:val="18"/>
          <w:szCs w:val="18"/>
          <w:color w:val="auto"/>
        </w:rPr>
        <w:t>” shall mean, with respect to a Person, any Affiliate of such Person under its “control,” as the term “control” is defined in the definition of Affiliate.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mean a Partner, any Affiliate of a Partner, any officer, director, shareholder, partner, employee or member of a Partner or any of its Affiliates, any officer of the Partnership.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December 31,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specified in the preamble of this Agreement.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 FMV</w:t>
      </w:r>
      <w:r>
        <w:rPr>
          <w:rFonts w:ascii="Arial" w:cs="Arial" w:eastAsia="Arial" w:hAnsi="Arial"/>
          <w:sz w:val="18"/>
          <w:szCs w:val="18"/>
          <w:color w:val="auto"/>
        </w:rPr>
        <w:t>” shall mean, in respect of each asset beneficially owned by the Partnership as of the Effective Time, the Fair Market Value of such Partnership asset as of such time and, in respect of each asset beneficially acquired by the Partnership following the Effective Time, the Fair Market Value of such Partnership asset at the time it is acquired.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and the rules and regulations of the SEC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Agreement</w:t>
      </w:r>
      <w:r>
        <w:rPr>
          <w:rFonts w:ascii="Arial" w:cs="Arial" w:eastAsia="Arial" w:hAnsi="Arial"/>
          <w:sz w:val="18"/>
          <w:szCs w:val="18"/>
          <w:color w:val="auto"/>
        </w:rPr>
        <w:t>” shall mean the Limited Partnership Agreement of the Partnership, dated as of December 31,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Extant AMG Affiliate</w:t>
      </w:r>
      <w:r>
        <w:rPr>
          <w:rFonts w:ascii="Arial" w:cs="Arial" w:eastAsia="Arial" w:hAnsi="Arial"/>
          <w:sz w:val="17"/>
          <w:szCs w:val="17"/>
          <w:color w:val="auto"/>
        </w:rPr>
        <w:t>” shall mean each of those Applicable AMG Affiliates which was an Applicable AMG Affiliate as of the Effective Time.</w:t>
      </w:r>
    </w:p>
    <w:p>
      <w:pPr>
        <w:spacing w:after="0" w:line="23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the fair market value as determined by the General Partner (or, for purposes of Section 4.4, if there shall be no General Partner, the Liquidating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Value</w:t>
      </w:r>
      <w:r>
        <w:rPr>
          <w:rFonts w:ascii="Arial" w:cs="Arial" w:eastAsia="Arial" w:hAnsi="Arial"/>
          <w:sz w:val="18"/>
          <w:szCs w:val="18"/>
          <w:color w:val="auto"/>
        </w:rPr>
        <w:t>” shall have the meaning specified in Section 6.3(a).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Follow-on Investment</w:t>
      </w:r>
      <w:r>
        <w:rPr>
          <w:rFonts w:ascii="Arial" w:cs="Arial" w:eastAsia="Arial" w:hAnsi="Arial"/>
          <w:sz w:val="18"/>
          <w:szCs w:val="18"/>
          <w:color w:val="auto"/>
        </w:rPr>
        <w:t>” shall have the meaning specified in Section 2.9.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Forfeiture</w:t>
      </w:r>
      <w:r>
        <w:rPr>
          <w:rFonts w:ascii="Arial" w:cs="Arial" w:eastAsia="Arial" w:hAnsi="Arial"/>
          <w:sz w:val="18"/>
          <w:szCs w:val="18"/>
          <w:color w:val="auto"/>
        </w:rPr>
        <w:t>” shall have the meaning specified in Section 6.2(a).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Forfeiture Notice</w:t>
      </w:r>
      <w:r>
        <w:rPr>
          <w:rFonts w:ascii="Arial" w:cs="Arial" w:eastAsia="Arial" w:hAnsi="Arial"/>
          <w:sz w:val="18"/>
          <w:szCs w:val="18"/>
          <w:color w:val="auto"/>
        </w:rPr>
        <w:t>” shall have the meaning specified in Section 6.2(a).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U.S. generally accepted accounting principles.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shall mean LTEIP 2011 GP Holdings Corp., a Delaware corporation, and any Person who becomes a successor General Partner pursuant to the provisions of this Agreement.</w:t>
      </w:r>
    </w:p>
    <w:p>
      <w:pPr>
        <w:sectPr>
          <w:pgSz w:w="11900" w:h="16838" w:orient="portrait"/>
          <w:cols w:equalWidth="0" w:num="1">
            <w:col w:w="11360"/>
          </w:cols>
          <w:pgMar w:left="240" w:top="125" w:right="299" w:bottom="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foreign, federal, state or local court, governmental authority or regulatory body.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shall mean, with respect to any individual, such individual’s spouse, former spouse, parents, grandparents, children, grandchildren, siblings (and estates, trusts, partnerships and other entities and legal relationships of which a substantial majority in interest of the beneficiaries, owners, investors, members or participants at all times in question are, directly or indirectly, one or more of the Persons described above and/or such individual).</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Regulations</w:t>
      </w:r>
      <w:r>
        <w:rPr>
          <w:rFonts w:ascii="Arial" w:cs="Arial" w:eastAsia="Arial" w:hAnsi="Arial"/>
          <w:sz w:val="18"/>
          <w:szCs w:val="18"/>
          <w:color w:val="auto"/>
        </w:rPr>
        <w:t>” shall mean the income tax regulations, including temporary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shall mean, with respect to a Person: (i) all indebtedness of such Person for borrowed money or for the deferred purchase price of property or services (other than current trade liabilities incurred in the ordinary course of business and payable in accordance with customary practices);</w:t>
      </w:r>
    </w:p>
    <w:p>
      <w:pPr>
        <w:ind w:right="140" w:firstLine="8"/>
        <w:spacing w:after="0" w:line="292" w:lineRule="auto"/>
        <w:tabs>
          <w:tab w:leader="none" w:pos="26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other indebtedness of such Person which is evidenced by a note, bond, debenture or similar instrument; (iii) all obligations of such Person under any financing leases; (iv) all obligations of such Person in respect of acceptances issued or created for the account of such Person; (v) all obligations of such Person under non-competition agreements reflected as liabilities on a balance sheet of such Person in accordance with GAAP; (vi) all liabilities secured by any Lien on any property owned by such Person even though such Person has not assumed or otherwise become liable for the payment thereof; and (vii) all net obligations of such Person under interest rate, commodity, foreign currency and financial markets swaps, options, futures and other hedging obligations.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Public Accountants</w:t>
      </w:r>
      <w:r>
        <w:rPr>
          <w:rFonts w:ascii="Arial" w:cs="Arial" w:eastAsia="Arial" w:hAnsi="Arial"/>
          <w:sz w:val="18"/>
          <w:szCs w:val="18"/>
          <w:color w:val="auto"/>
        </w:rPr>
        <w:t>” shall mean any independent certified public accountant selected by the General Partner.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Valuation Expert</w:t>
      </w:r>
      <w:r>
        <w:rPr>
          <w:rFonts w:ascii="Arial" w:cs="Arial" w:eastAsia="Arial" w:hAnsi="Arial"/>
          <w:sz w:val="18"/>
          <w:szCs w:val="18"/>
          <w:color w:val="auto"/>
        </w:rPr>
        <w:t>” shall have the meaning specified in Section 6.3(a).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Limited Partner</w:t>
      </w:r>
      <w:r>
        <w:rPr>
          <w:rFonts w:ascii="Arial" w:cs="Arial" w:eastAsia="Arial" w:hAnsi="Arial"/>
          <w:sz w:val="18"/>
          <w:szCs w:val="18"/>
          <w:color w:val="auto"/>
        </w:rPr>
        <w:t>” shall have the meaning specified in Section 2.10.</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Management Services</w:t>
      </w:r>
      <w:r>
        <w:rPr>
          <w:rFonts w:ascii="Arial" w:cs="Arial" w:eastAsia="Arial" w:hAnsi="Arial"/>
          <w:sz w:val="18"/>
          <w:szCs w:val="18"/>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“investment adviser” within the meaning of the Advisers Act, including, without limitation, in each of the foregoing cases, performing activities related or incidental thereto.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Internal Revenue Service of the United States Department of the Treasury.</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w:t>
      </w:r>
      <w:r>
        <w:rPr>
          <w:rFonts w:ascii="Arial" w:cs="Arial" w:eastAsia="Arial" w:hAnsi="Arial"/>
          <w:sz w:val="18"/>
          <w:szCs w:val="18"/>
          <w:color w:val="auto"/>
        </w:rPr>
        <w:t>” shall mean any Person admitted to the Partnership as a Partner pursuant to the provisions of this Agreement, other than the General Partner.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Liquidating Trustee</w:t>
      </w:r>
      <w:r>
        <w:rPr>
          <w:rFonts w:ascii="Arial" w:cs="Arial" w:eastAsia="Arial" w:hAnsi="Arial"/>
          <w:sz w:val="18"/>
          <w:szCs w:val="18"/>
          <w:color w:val="auto"/>
        </w:rPr>
        <w:t>” shall have the meaning specified in Section 7.4.</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AMG Affiliate</w:t>
      </w:r>
      <w:r>
        <w:rPr>
          <w:rFonts w:ascii="Arial" w:cs="Arial" w:eastAsia="Arial" w:hAnsi="Arial"/>
          <w:sz w:val="18"/>
          <w:szCs w:val="18"/>
          <w:color w:val="auto"/>
        </w:rPr>
        <w:t>” shall mean any Person that provides Investment Management Services in which AMG first acquires a direct or indirect ownership interest following the Effective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Investment</w:t>
      </w:r>
      <w:r>
        <w:rPr>
          <w:rFonts w:ascii="Arial" w:cs="Arial" w:eastAsia="Arial" w:hAnsi="Arial"/>
          <w:sz w:val="18"/>
          <w:szCs w:val="18"/>
          <w:color w:val="auto"/>
        </w:rPr>
        <w:t>” shall have the meaning specified in Section 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Notices</w:t>
      </w:r>
      <w:r>
        <w:rPr>
          <w:rFonts w:ascii="Arial" w:cs="Arial" w:eastAsia="Arial" w:hAnsi="Arial"/>
          <w:sz w:val="18"/>
          <w:szCs w:val="18"/>
          <w:color w:val="auto"/>
        </w:rPr>
        <w:t>” shall have the meaning specified in Section 10.2.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w:t>
      </w:r>
      <w:r>
        <w:rPr>
          <w:rFonts w:ascii="Arial" w:cs="Arial" w:eastAsia="Arial" w:hAnsi="Arial"/>
          <w:sz w:val="18"/>
          <w:szCs w:val="18"/>
          <w:color w:val="auto"/>
        </w:rPr>
        <w:t>” shall mean any Person admitted to the Partnership as a “partner” within the meaning of the Act, which includes the General Partner and the Limited Partners. For all purposes of the Act, the Partners shall constitute one (1) class or group of partners.</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 Nonrecourse Debt Minimum Gain</w:t>
      </w:r>
      <w:r>
        <w:rPr>
          <w:rFonts w:ascii="Arial" w:cs="Arial" w:eastAsia="Arial" w:hAnsi="Arial"/>
          <w:sz w:val="16"/>
          <w:szCs w:val="16"/>
          <w:color w:val="auto"/>
        </w:rPr>
        <w:t>” shall mean an amount with respect to each partner nonrecourse debt (as defined in U.S. Treasury Regulations Section 1.704-2(b)(4)) equal to the Partnership Minimum Gain that would result if such partner nonrecourse debt were treated as a nonrecourse liability (as defined in U.S. Treasury Regulations Section 1.752-1(a)(2)) determined in accordance with U.S. Treasury Regulations Section 1.704-2(i)(3).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shall have the meaning set forth in U.S. Treasury Regulations Section 1.704-2(i)(2).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Interests</w:t>
      </w:r>
      <w:r>
        <w:rPr>
          <w:rFonts w:ascii="Arial" w:cs="Arial" w:eastAsia="Arial" w:hAnsi="Arial"/>
          <w:sz w:val="18"/>
          <w:szCs w:val="18"/>
          <w:color w:val="auto"/>
        </w:rPr>
        <w:t>” shall mean, as of any date, with respect to a Partner, a Partner’s interest in the Partnership, which includes such Partner’s Partnership Points, as well as such Partner’s Capital Account and other rights under this Agreement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Minimum Gain</w:t>
      </w:r>
      <w:r>
        <w:rPr>
          <w:rFonts w:ascii="Arial" w:cs="Arial" w:eastAsia="Arial" w:hAnsi="Arial"/>
          <w:sz w:val="18"/>
          <w:szCs w:val="18"/>
          <w:color w:val="auto"/>
        </w:rPr>
        <w:t>” shall have the meaning set forth in U.S. Treasury Regulations Sections 1.704-2(b)(2) and 1.704-2(d).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Points</w:t>
      </w:r>
      <w:r>
        <w:rPr>
          <w:rFonts w:ascii="Arial" w:cs="Arial" w:eastAsia="Arial" w:hAnsi="Arial"/>
          <w:sz w:val="16"/>
          <w:szCs w:val="16"/>
          <w:color w:val="auto"/>
        </w:rPr>
        <w:t xml:space="preserve">” shall mean, as of any date with respect to a Partner, the number of Partnership Points of such Partner as set forth on </w:t>
      </w:r>
      <w:r>
        <w:rPr>
          <w:rFonts w:ascii="Arial" w:cs="Arial" w:eastAsia="Arial" w:hAnsi="Arial"/>
          <w:sz w:val="16"/>
          <w:szCs w:val="16"/>
          <w:u w:val="single" w:color="auto"/>
          <w:color w:val="auto"/>
        </w:rPr>
        <w:t>Schedule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ectPr>
          <w:pgSz w:w="11900" w:h="16838" w:orient="portrait"/>
          <w:cols w:equalWidth="0" w:num="1">
            <w:col w:w="11400"/>
          </w:cols>
          <w:pgMar w:left="240" w:top="125" w:right="259" w:bottom="18" w:gutter="0" w:footer="0" w:header="0"/>
        </w:sectPr>
      </w:pPr>
    </w:p>
    <w:bookmarkStart w:id="111" w:name="page112"/>
    <w:bookmarkEnd w:id="111"/>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AMG Transferee</w:t>
      </w:r>
      <w:r>
        <w:rPr>
          <w:rFonts w:ascii="Arial" w:cs="Arial" w:eastAsia="Arial" w:hAnsi="Arial"/>
          <w:sz w:val="17"/>
          <w:szCs w:val="17"/>
          <w:color w:val="auto"/>
        </w:rPr>
        <w:t>” means a subsidiary, all or substantially all of the voting and economic interests of which are owned directly or indirectly by AMG (or that is otherwise owned, directly or indirectly, by AMG in a manner having substantially the same effect).</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(limited or general), corporation, limited liability company, limited liability partnership, association, trust, joint venture, unincorporated organization or any similar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 Interests</w:t>
      </w:r>
      <w:r>
        <w:rPr>
          <w:rFonts w:ascii="Arial" w:cs="Arial" w:eastAsia="Arial" w:hAnsi="Arial"/>
          <w:sz w:val="18"/>
          <w:szCs w:val="18"/>
          <w:color w:val="auto"/>
        </w:rPr>
        <w:t>” shall have the meaning specified in Section 4.7.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Rules</w:t>
      </w:r>
      <w:r>
        <w:rPr>
          <w:rFonts w:ascii="Arial" w:cs="Arial" w:eastAsia="Arial" w:hAnsi="Arial"/>
          <w:sz w:val="18"/>
          <w:szCs w:val="18"/>
          <w:color w:val="auto"/>
        </w:rPr>
        <w:t>” shall have the meaning specified in Section 4.7.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shall have the meaning specified in Section 6.4(a).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Notice</w:t>
      </w:r>
      <w:r>
        <w:rPr>
          <w:rFonts w:ascii="Arial" w:cs="Arial" w:eastAsia="Arial" w:hAnsi="Arial"/>
          <w:sz w:val="18"/>
          <w:szCs w:val="18"/>
          <w:color w:val="auto"/>
        </w:rPr>
        <w:t>” shall have the meaning specified in Section 6.4(d).</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shall mean, in respect of any Purchased Points being purchased from a Limited Partner, an amount equal to the Fair Value of such Purchased Points as of the last day of the most recently completed calendar quarter preceding the applicable Purchase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Points</w:t>
      </w:r>
      <w:r>
        <w:rPr>
          <w:rFonts w:ascii="Arial" w:cs="Arial" w:eastAsia="Arial" w:hAnsi="Arial"/>
          <w:sz w:val="18"/>
          <w:szCs w:val="18"/>
          <w:color w:val="auto"/>
        </w:rPr>
        <w:t>” shall have the meaning specified in Section 6.4(d).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Put</w:t>
      </w:r>
      <w:r>
        <w:rPr>
          <w:rFonts w:ascii="Arial" w:cs="Arial" w:eastAsia="Arial" w:hAnsi="Arial"/>
          <w:sz w:val="18"/>
          <w:szCs w:val="18"/>
          <w:color w:val="auto"/>
        </w:rPr>
        <w:t>” shall have the meaning specified in Section 6.4(a).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Allocations</w:t>
      </w:r>
      <w:r>
        <w:rPr>
          <w:rFonts w:ascii="Arial" w:cs="Arial" w:eastAsia="Arial" w:hAnsi="Arial"/>
          <w:sz w:val="18"/>
          <w:szCs w:val="18"/>
          <w:color w:val="auto"/>
        </w:rPr>
        <w:t>” shall have the meaning specified in Section 4.5(f).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Safe Harbor Election</w:t>
      </w:r>
      <w:r>
        <w:rPr>
          <w:rFonts w:ascii="Arial" w:cs="Arial" w:eastAsia="Arial" w:hAnsi="Arial"/>
          <w:sz w:val="18"/>
          <w:szCs w:val="18"/>
          <w:color w:val="auto"/>
        </w:rPr>
        <w:t>” shall have the meaning specified in Section 4.7.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 and any successor Governmental Authority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it may be amended from time to time, and any successor thereto.</w:t>
      </w:r>
    </w:p>
    <w:p>
      <w:pPr>
        <w:spacing w:after="0" w:line="225"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Participation Threshold</w:t>
      </w:r>
      <w:r>
        <w:rPr>
          <w:rFonts w:ascii="Arial" w:cs="Arial" w:eastAsia="Arial" w:hAnsi="Arial"/>
          <w:sz w:val="18"/>
          <w:szCs w:val="18"/>
          <w:color w:val="auto"/>
        </w:rPr>
        <w:t xml:space="preserve">” shall mean the dollar amount specified opposite the name of the Applicable AMG Affiliate on </w:t>
      </w:r>
      <w:r>
        <w:rPr>
          <w:rFonts w:ascii="Arial" w:cs="Arial" w:eastAsia="Arial" w:hAnsi="Arial"/>
          <w:sz w:val="18"/>
          <w:szCs w:val="18"/>
          <w:u w:val="single" w:color="auto"/>
          <w:color w:val="auto"/>
        </w:rPr>
        <w:t>Schedule B</w:t>
      </w:r>
      <w:r>
        <w:rPr>
          <w:rFonts w:ascii="Arial" w:cs="Arial" w:eastAsia="Arial" w:hAnsi="Arial"/>
          <w:sz w:val="18"/>
          <w:szCs w:val="18"/>
          <w:color w:val="auto"/>
        </w:rPr>
        <w:t>, as may be adjusted by the General Partner (a) to the extent required by Section 2.9 in connection with a Follow-on Investment, or (ii) to the extent required to reflect any complete or partial sale or liquidation of such Applicable AMG Affiliate (or of a parent company or subsidiary thereof or other entity associated with the business of such Applicable AMG Affiliate).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C Percentage</w:t>
      </w:r>
      <w:r>
        <w:rPr>
          <w:rFonts w:ascii="Arial" w:cs="Arial" w:eastAsia="Arial" w:hAnsi="Arial"/>
          <w:sz w:val="17"/>
          <w:szCs w:val="17"/>
          <w:color w:val="auto"/>
        </w:rPr>
        <w:t xml:space="preserve">” shall mean, with respect to an Applicable Holding Company, the percentage specified opposite the name of such Person on </w:t>
      </w:r>
      <w:r>
        <w:rPr>
          <w:rFonts w:ascii="Arial" w:cs="Arial" w:eastAsia="Arial" w:hAnsi="Arial"/>
          <w:sz w:val="17"/>
          <w:szCs w:val="17"/>
          <w:u w:val="single" w:color="auto"/>
          <w:color w:val="auto"/>
        </w:rPr>
        <w:t>Schedule B</w:t>
      </w:r>
      <w:r>
        <w:rPr>
          <w:rFonts w:ascii="Arial" w:cs="Arial" w:eastAsia="Arial" w:hAnsi="Arial"/>
          <w:sz w:val="17"/>
          <w:szCs w:val="17"/>
          <w:color w:val="auto"/>
        </w:rPr>
        <w:t>, as may be adjusted by the General Partner to the extent required by Section 2.9 in connection with a Follow-on Investment.</w:t>
      </w:r>
    </w:p>
    <w:p>
      <w:pPr>
        <w:spacing w:after="0" w:line="14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Price</w:t>
      </w:r>
      <w:r>
        <w:rPr>
          <w:rFonts w:ascii="Arial" w:cs="Arial" w:eastAsia="Arial" w:hAnsi="Arial"/>
          <w:sz w:val="17"/>
          <w:szCs w:val="17"/>
          <w:color w:val="auto"/>
        </w:rPr>
        <w:t>” shall mean, for any trading day, the closing price for one AMG Share, which shall be the last sale price or, in the case no such sale takes place on such trading day, the average of the closing bid and asked prices, in either case as reported in the principal consolidated transaction reporting system with respect to securities listed on the principal national securities exchange or other market on which AMG Shares are listed or admitted to trading; or, if on any such trading day no bids are quoted by any such organization, the average of the closing bid and asked prices as furnished by a professional market maker making a market in such security reasonably selected by the General Partner.</w:t>
      </w:r>
    </w:p>
    <w:p>
      <w:pPr>
        <w:spacing w:after="0" w:line="17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Limited Partner Vote</w:t>
      </w:r>
      <w:r>
        <w:rPr>
          <w:rFonts w:ascii="Arial" w:cs="Arial" w:eastAsia="Arial" w:hAnsi="Arial"/>
          <w:sz w:val="18"/>
          <w:szCs w:val="18"/>
          <w:color w:val="auto"/>
        </w:rPr>
        <w:t>” shall mean the affirmative approval, by vote or written consent, of Limited Partners holding eighty percent (80%) of the Partnership Points then held by all Limited Partners.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shall mean any sale, assignment, transfer, exchange, charge, pledge, gift, hypothecation, conveyance or encumbrance (such meaning to be equally applicable to verb and noun forms of such term), or any offer to do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Points</w:t>
      </w:r>
      <w:r>
        <w:rPr>
          <w:rFonts w:ascii="Arial" w:cs="Arial" w:eastAsia="Arial" w:hAnsi="Arial"/>
          <w:sz w:val="18"/>
          <w:szCs w:val="18"/>
          <w:color w:val="auto"/>
        </w:rPr>
        <w:t>” shall have the meaning specified in Section 6.1.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Points</w:t>
      </w:r>
      <w:r>
        <w:rPr>
          <w:rFonts w:ascii="Arial" w:cs="Arial" w:eastAsia="Arial" w:hAnsi="Arial"/>
          <w:sz w:val="18"/>
          <w:szCs w:val="18"/>
          <w:color w:val="auto"/>
        </w:rPr>
        <w:t>” shall have the meaning specified in Section 6.1.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PUT/CALL NOTICE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LONG-TERM EQUITY INTERESTS PLAN 2011, LP</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Reference is made to that certain Limited Partnership Agreement of Long-Term Equity Interests Plan 2011, LP, dated as of December 31, 2011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Capitalized terms used and not otherwise defined herein shall have the respective meanings set forth in the Partnership Agreement.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WHEREAS, pursuant to the terms of Section 6.4 of the Partnership Agreement, [the undersigned Limited Partner has the option, subject to the terms and conditions set forth in Section 6.4 of the Partnership Agreement, to cause the General Partner to purchase Vested Points held by such Limited Partner] / [the General Partner has the option, subject to the terms and conditions set forth in Section 6.4 of the Partnership Agreement, to cause [insert name of applicable Limited Partner] to sell Vested Points held by such Limited Partner].</w:t>
      </w:r>
    </w:p>
    <w:p>
      <w:pPr>
        <w:sectPr>
          <w:pgSz w:w="11900" w:h="16838" w:orient="portrait"/>
          <w:cols w:equalWidth="0" w:num="1">
            <w:col w:w="11400"/>
          </w:cols>
          <w:pgMar w:left="240" w:top="125" w:right="259" w:bottom="0" w:gutter="0" w:footer="0" w:header="0"/>
        </w:sectPr>
      </w:pPr>
    </w:p>
    <w:bookmarkStart w:id="112" w:name="page113"/>
    <w:bookmarkEnd w:id="112"/>
    <w:p>
      <w:pPr>
        <w:ind w:left="660"/>
        <w:spacing w:after="0"/>
        <w:rPr>
          <w:sz w:val="20"/>
          <w:szCs w:val="20"/>
          <w:color w:val="auto"/>
        </w:rPr>
      </w:pPr>
      <w:r>
        <w:rPr>
          <w:rFonts w:ascii="Arial" w:cs="Arial" w:eastAsia="Arial" w:hAnsi="Arial"/>
          <w:sz w:val="16"/>
          <w:szCs w:val="16"/>
          <w:color w:val="auto"/>
        </w:rPr>
        <w:t>NOW, THEREFORE, [the undersigned Limited Partner hereby provides notice in accordance with Section 6.4(d) of the Partnership Agreement that</w:t>
      </w:r>
    </w:p>
    <w:p>
      <w:pPr>
        <w:spacing w:after="0" w:line="46"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it elects to sell to the General Partner Vested Points (and a pro rata portion of such Limited Partner’s Capital Account)] / [the General Partner hereby provides notice in accordance with Section 6.4(d) of the Partnership Agreement that it elects to purchase from [insert name of applicable Limited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w w:val="93"/>
              </w:rPr>
              <w:t>Partner]</w:t>
            </w:r>
          </w:p>
        </w:tc>
        <w:tc>
          <w:tcPr>
            <w:tcW w:w="7580" w:type="dxa"/>
            <w:vAlign w:val="bottom"/>
            <w:gridSpan w:val="2"/>
          </w:tcPr>
          <w:p>
            <w:pPr>
              <w:ind w:left="960"/>
              <w:spacing w:after="0"/>
              <w:rPr>
                <w:sz w:val="20"/>
                <w:szCs w:val="20"/>
                <w:color w:val="auto"/>
              </w:rPr>
            </w:pPr>
            <w:r>
              <w:rPr>
                <w:rFonts w:ascii="Arial" w:cs="Arial" w:eastAsia="Arial" w:hAnsi="Arial"/>
                <w:sz w:val="18"/>
                <w:szCs w:val="18"/>
                <w:color w:val="auto"/>
              </w:rPr>
              <w:t>Vested Points (and a pro rata portion of such Limited Partner’s Capital Account)].</w:t>
            </w: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20" w:type="dxa"/>
            <w:vAlign w:val="bottom"/>
          </w:tcPr>
          <w:p>
            <w:pPr>
              <w:spacing w:after="0"/>
              <w:rPr>
                <w:sz w:val="24"/>
                <w:szCs w:val="24"/>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w w:val="95"/>
              </w:rPr>
              <w:t>IN WITNESS WHEREOF, the undersigned has executed and delivered this Purchase Notice as of [</w:t>
            </w:r>
          </w:p>
        </w:tc>
        <w:tc>
          <w:tcPr>
            <w:tcW w:w="3220" w:type="dxa"/>
            <w:vAlign w:val="bottom"/>
          </w:tcPr>
          <w:p>
            <w:pPr>
              <w:jc w:val="right"/>
              <w:ind w:right="27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648"/>
        </w:trPr>
        <w:tc>
          <w:tcPr>
            <w:tcW w:w="620" w:type="dxa"/>
            <w:vAlign w:val="bottom"/>
          </w:tcPr>
          <w:p>
            <w:pPr>
              <w:spacing w:after="0"/>
              <w:rPr>
                <w:sz w:val="24"/>
                <w:szCs w:val="24"/>
                <w:color w:val="auto"/>
              </w:rPr>
            </w:pPr>
          </w:p>
        </w:tc>
        <w:tc>
          <w:tcPr>
            <w:tcW w:w="7580" w:type="dxa"/>
            <w:vAlign w:val="bottom"/>
            <w:gridSpan w:val="2"/>
          </w:tcPr>
          <w:p>
            <w:pPr>
              <w:ind w:left="4800"/>
              <w:spacing w:after="0"/>
              <w:rPr>
                <w:sz w:val="20"/>
                <w:szCs w:val="20"/>
                <w:color w:val="auto"/>
              </w:rPr>
            </w:pPr>
            <w:r>
              <w:rPr>
                <w:rFonts w:ascii="Arial" w:cs="Arial" w:eastAsia="Arial" w:hAnsi="Arial"/>
                <w:sz w:val="18"/>
                <w:szCs w:val="18"/>
                <w:color w:val="auto"/>
              </w:rPr>
              <w:t>[General Partner / Limited Partner]</w:t>
            </w: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620" w:type="dxa"/>
            <w:vAlign w:val="bottom"/>
          </w:tcPr>
          <w:p>
            <w:pPr>
              <w:spacing w:after="0"/>
              <w:rPr>
                <w:sz w:val="24"/>
                <w:szCs w:val="24"/>
                <w:color w:val="auto"/>
              </w:rPr>
            </w:pPr>
          </w:p>
        </w:tc>
        <w:tc>
          <w:tcPr>
            <w:tcW w:w="7580" w:type="dxa"/>
            <w:vAlign w:val="bottom"/>
            <w:gridSpan w:val="2"/>
          </w:tcPr>
          <w:p>
            <w:pPr>
              <w:ind w:left="4800"/>
              <w:spacing w:after="0"/>
              <w:rPr>
                <w:sz w:val="20"/>
                <w:szCs w:val="20"/>
                <w:color w:val="auto"/>
              </w:rPr>
            </w:pPr>
            <w:r>
              <w:rPr>
                <w:rFonts w:ascii="Arial" w:cs="Arial" w:eastAsia="Arial" w:hAnsi="Arial"/>
                <w:sz w:val="18"/>
                <w:szCs w:val="18"/>
                <w:color w:val="auto"/>
              </w:rPr>
              <w:t>By:</w:t>
            </w: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62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2320" w:type="dxa"/>
            <w:vAlign w:val="bottom"/>
            <w:tcBorders>
              <w:top w:val="single" w:sz="8" w:color="auto"/>
              <w:bottom w:val="single" w:sz="8" w:color="010101"/>
            </w:tcBorders>
          </w:tcPr>
          <w:p>
            <w:pPr>
              <w:spacing w:after="0"/>
              <w:rPr>
                <w:sz w:val="24"/>
                <w:szCs w:val="24"/>
                <w:color w:val="auto"/>
              </w:rPr>
            </w:pPr>
          </w:p>
        </w:tc>
        <w:tc>
          <w:tcPr>
            <w:tcW w:w="322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3" w:name="page114"/>
    <w:bookmarkEnd w:id="113"/>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alphabetical order)</w:t>
      </w:r>
    </w:p>
    <w:p>
      <w:pPr>
        <w:spacing w:after="0" w:line="2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Below is a list comprised of (i) wholly-owned subsidiaries of Affiliated Managers Group, Inc. (the “Company”), (ii) entities in which the Company has a majority interest (direct and indirect) and (iii) entities in which the Company has a minority investment (direct and indirect), as of December 31, 2011. Minority investments are indicated via asterisk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1588153 Ontario Limited, an Ontario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4444582 Canada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9106-6001 Quebec Inc., a Quebec corporation</w:t>
      </w:r>
    </w:p>
    <w:p>
      <w:pPr>
        <w:spacing w:after="0" w:line="9" w:lineRule="exact"/>
        <w:rPr>
          <w:sz w:val="20"/>
          <w:szCs w:val="20"/>
          <w:color w:val="auto"/>
        </w:rPr>
      </w:pPr>
    </w:p>
    <w:p>
      <w:pPr>
        <w:jc w:val="center"/>
        <w:ind w:right="5780" w:firstLine="8"/>
        <w:spacing w:after="0" w:line="281" w:lineRule="auto"/>
        <w:tabs>
          <w:tab w:leader="none" w:pos="3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Portfolio Management Limited, a Cayman Islands exempted company Advantage Outsourcing Solutions, LLC, a Delaware limited liability company</w:t>
      </w:r>
    </w:p>
    <w:p>
      <w:pPr>
        <w:spacing w:after="0" w:line="1" w:lineRule="exact"/>
        <w:rPr>
          <w:rFonts w:ascii="Arial" w:cs="Arial" w:eastAsia="Arial" w:hAnsi="Arial"/>
          <w:sz w:val="16"/>
          <w:szCs w:val="16"/>
          <w:color w:val="auto"/>
        </w:rPr>
      </w:pPr>
    </w:p>
    <w:p>
      <w:pPr>
        <w:ind w:right="4380"/>
        <w:spacing w:after="0" w:line="265" w:lineRule="auto"/>
        <w:rPr>
          <w:rFonts w:ascii="Arial" w:cs="Arial" w:eastAsia="Arial" w:hAnsi="Arial"/>
          <w:sz w:val="16"/>
          <w:szCs w:val="16"/>
          <w:color w:val="auto"/>
        </w:rPr>
      </w:pPr>
      <w:r>
        <w:rPr>
          <w:rFonts w:ascii="Arial" w:cs="Arial" w:eastAsia="Arial" w:hAnsi="Arial"/>
          <w:sz w:val="17"/>
          <w:szCs w:val="17"/>
          <w:color w:val="auto"/>
        </w:rPr>
        <w:t>Affiliated Managers Group (Hong Kong) Limited, a limited company incorporated in Hong Kong Affiliated Managers Group Limited, a limited company incorporated in the United Kingdom Affiliated Managers Group Pty Ltd, a limited company incorporated in Australia</w:t>
      </w:r>
    </w:p>
    <w:p>
      <w:pPr>
        <w:spacing w:after="0"/>
        <w:rPr>
          <w:rFonts w:ascii="Arial" w:cs="Arial" w:eastAsia="Arial" w:hAnsi="Arial"/>
          <w:sz w:val="16"/>
          <w:szCs w:val="16"/>
          <w:color w:val="auto"/>
        </w:rPr>
      </w:pPr>
      <w:r>
        <w:rPr>
          <w:rFonts w:ascii="Arial" w:cs="Arial" w:eastAsia="Arial" w:hAnsi="Arial"/>
          <w:sz w:val="18"/>
          <w:szCs w:val="18"/>
          <w:color w:val="auto"/>
        </w:rPr>
        <w:t>AKH Holdings LLC, a Delaware limited liability company</w:t>
      </w:r>
    </w:p>
    <w:p>
      <w:pPr>
        <w:spacing w:after="0" w:line="9" w:lineRule="exact"/>
        <w:rPr>
          <w:rFonts w:ascii="Arial" w:cs="Arial" w:eastAsia="Arial" w:hAnsi="Arial"/>
          <w:sz w:val="16"/>
          <w:szCs w:val="16"/>
          <w:color w:val="auto"/>
        </w:rPr>
      </w:pPr>
    </w:p>
    <w:p>
      <w:pPr>
        <w:ind w:right="6540"/>
        <w:spacing w:after="0" w:line="250" w:lineRule="auto"/>
        <w:rPr>
          <w:rFonts w:ascii="Arial" w:cs="Arial" w:eastAsia="Arial" w:hAnsi="Arial"/>
          <w:sz w:val="16"/>
          <w:szCs w:val="16"/>
          <w:color w:val="auto"/>
        </w:rPr>
      </w:pPr>
      <w:r>
        <w:rPr>
          <w:rFonts w:ascii="Arial" w:cs="Arial" w:eastAsia="Arial" w:hAnsi="Arial"/>
          <w:sz w:val="18"/>
          <w:szCs w:val="18"/>
          <w:color w:val="auto"/>
        </w:rPr>
        <w:t>AMG Boston Holdings, LLC, a Delaware limited liability company AMG Canada Corp., a Nova Scotia corporation</w:t>
      </w:r>
    </w:p>
    <w:p>
      <w:pPr>
        <w:ind w:right="6540"/>
        <w:spacing w:after="0" w:line="250" w:lineRule="auto"/>
        <w:rPr>
          <w:rFonts w:ascii="Arial" w:cs="Arial" w:eastAsia="Arial" w:hAnsi="Arial"/>
          <w:sz w:val="16"/>
          <w:szCs w:val="16"/>
          <w:color w:val="auto"/>
        </w:rPr>
      </w:pPr>
      <w:r>
        <w:rPr>
          <w:rFonts w:ascii="Arial" w:cs="Arial" w:eastAsia="Arial" w:hAnsi="Arial"/>
          <w:sz w:val="18"/>
          <w:szCs w:val="18"/>
          <w:color w:val="auto"/>
        </w:rPr>
        <w:t>AMG Canada Holdings LLC, a Delaware limited liability company AMG FL Holdings, LLC, a Delaware limited liability company AMG Genesis, LLC, a Delaware limited liability company AMG Global, Inc., a Delaware corporation</w:t>
      </w:r>
    </w:p>
    <w:p>
      <w:pPr>
        <w:spacing w:after="0" w:line="1" w:lineRule="exact"/>
        <w:rPr>
          <w:rFonts w:ascii="Arial" w:cs="Arial" w:eastAsia="Arial" w:hAnsi="Arial"/>
          <w:sz w:val="16"/>
          <w:szCs w:val="16"/>
          <w:color w:val="auto"/>
        </w:rPr>
      </w:pPr>
    </w:p>
    <w:p>
      <w:pPr>
        <w:ind w:right="6520"/>
        <w:spacing w:after="0" w:line="265" w:lineRule="auto"/>
        <w:rPr>
          <w:rFonts w:ascii="Arial" w:cs="Arial" w:eastAsia="Arial" w:hAnsi="Arial"/>
          <w:sz w:val="16"/>
          <w:szCs w:val="16"/>
          <w:color w:val="auto"/>
        </w:rPr>
      </w:pPr>
      <w:r>
        <w:rPr>
          <w:rFonts w:ascii="Arial" w:cs="Arial" w:eastAsia="Arial" w:hAnsi="Arial"/>
          <w:sz w:val="17"/>
          <w:szCs w:val="17"/>
          <w:color w:val="auto"/>
        </w:rPr>
        <w:t>AMG LGP Acquisition, LLC, a Delaware limited liability company AMG London Holdings Corp., a Delaware corporation</w:t>
      </w:r>
    </w:p>
    <w:p>
      <w:pPr>
        <w:ind w:right="7180"/>
        <w:spacing w:after="0" w:line="281" w:lineRule="auto"/>
        <w:rPr>
          <w:rFonts w:ascii="Arial" w:cs="Arial" w:eastAsia="Arial" w:hAnsi="Arial"/>
          <w:sz w:val="16"/>
          <w:szCs w:val="16"/>
          <w:color w:val="auto"/>
        </w:rPr>
      </w:pPr>
      <w:r>
        <w:rPr>
          <w:rFonts w:ascii="Arial" w:cs="Arial" w:eastAsia="Arial" w:hAnsi="Arial"/>
          <w:sz w:val="16"/>
          <w:szCs w:val="16"/>
          <w:color w:val="auto"/>
        </w:rPr>
        <w:t>AMG New York Holdings Corp., a Delaware corporation AMG Northeast Holdings, Inc., a Delaware corporation AMG Northeast Investment Corp., a Delaware corporation</w:t>
      </w:r>
    </w:p>
    <w:p>
      <w:pPr>
        <w:spacing w:after="0" w:line="2" w:lineRule="exact"/>
        <w:rPr>
          <w:rFonts w:ascii="Arial" w:cs="Arial" w:eastAsia="Arial" w:hAnsi="Arial"/>
          <w:sz w:val="16"/>
          <w:szCs w:val="16"/>
          <w:color w:val="auto"/>
        </w:rPr>
      </w:pPr>
    </w:p>
    <w:p>
      <w:pPr>
        <w:ind w:right="3620"/>
        <w:spacing w:after="0" w:line="281" w:lineRule="auto"/>
        <w:rPr>
          <w:rFonts w:ascii="Arial" w:cs="Arial" w:eastAsia="Arial" w:hAnsi="Arial"/>
          <w:sz w:val="16"/>
          <w:szCs w:val="16"/>
          <w:color w:val="auto"/>
        </w:rPr>
      </w:pPr>
      <w:r>
        <w:rPr>
          <w:rFonts w:ascii="Arial" w:cs="Arial" w:eastAsia="Arial" w:hAnsi="Arial"/>
          <w:sz w:val="16"/>
          <w:szCs w:val="16"/>
          <w:color w:val="auto"/>
        </w:rPr>
        <w:t>AMG PA Holdings Partnership (formerly known as E.C. Rorer Partnership), a Delaware general partnership AMG Plymouth UK Holdings (1) Limited, a limited company incorporated in England and Wales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AMG Properties LLC, a Delaware limited liability company</w:t>
      </w:r>
    </w:p>
    <w:p>
      <w:pPr>
        <w:spacing w:after="0" w:line="9" w:lineRule="exact"/>
        <w:rPr>
          <w:rFonts w:ascii="Arial" w:cs="Arial" w:eastAsia="Arial" w:hAnsi="Arial"/>
          <w:sz w:val="16"/>
          <w:szCs w:val="16"/>
          <w:color w:val="auto"/>
        </w:rPr>
      </w:pPr>
    </w:p>
    <w:p>
      <w:pPr>
        <w:ind w:right="6200"/>
        <w:spacing w:after="0" w:line="265" w:lineRule="auto"/>
        <w:rPr>
          <w:rFonts w:ascii="Arial" w:cs="Arial" w:eastAsia="Arial" w:hAnsi="Arial"/>
          <w:sz w:val="16"/>
          <w:szCs w:val="16"/>
          <w:color w:val="auto"/>
        </w:rPr>
      </w:pPr>
      <w:r>
        <w:rPr>
          <w:rFonts w:ascii="Arial" w:cs="Arial" w:eastAsia="Arial" w:hAnsi="Arial"/>
          <w:sz w:val="17"/>
          <w:szCs w:val="17"/>
          <w:color w:val="auto"/>
        </w:rPr>
        <w:t>AMG Renaissance Holdings LLC, a Delaware limited liability company AMG Wealth Partners, LP, a Delaware limited partnership</w:t>
      </w:r>
    </w:p>
    <w:p>
      <w:pPr>
        <w:ind w:right="6400"/>
        <w:spacing w:after="0" w:line="265" w:lineRule="auto"/>
        <w:rPr>
          <w:rFonts w:ascii="Arial" w:cs="Arial" w:eastAsia="Arial" w:hAnsi="Arial"/>
          <w:sz w:val="16"/>
          <w:szCs w:val="16"/>
          <w:color w:val="auto"/>
        </w:rPr>
      </w:pPr>
      <w:r>
        <w:rPr>
          <w:rFonts w:ascii="Arial" w:cs="Arial" w:eastAsia="Arial" w:hAnsi="Arial"/>
          <w:sz w:val="17"/>
          <w:szCs w:val="17"/>
          <w:color w:val="auto"/>
        </w:rPr>
        <w:t>AMG WF Holdings LLC, a Delaware limited liability company AMG WM GP Holdings, LLC, a Delaware limited liability company AMG WM LP Holdings, LLC, a Delaware limited liability company AMG WP GP Holdings Corp., a Delaware corporation AMG/FAMI Investment Corp., a Nova Scotia corporation AMG/Midwest Holdings, Inc., a Delaware corporation AMG/Midwest Holdings, LLC, a Delaware limited liability company AMG/North America Holding Corp., a Delaware corporation AMG/TBC Holdings, Inc., a Delaware corporation</w:t>
      </w:r>
    </w:p>
    <w:p>
      <w:pPr>
        <w:spacing w:after="0" w:line="2" w:lineRule="exact"/>
        <w:rPr>
          <w:rFonts w:ascii="Arial" w:cs="Arial" w:eastAsia="Arial" w:hAnsi="Arial"/>
          <w:sz w:val="16"/>
          <w:szCs w:val="16"/>
          <w:color w:val="auto"/>
        </w:rPr>
      </w:pPr>
    </w:p>
    <w:p>
      <w:pPr>
        <w:ind w:right="5480"/>
        <w:spacing w:after="0" w:line="281" w:lineRule="auto"/>
        <w:rPr>
          <w:rFonts w:ascii="Arial" w:cs="Arial" w:eastAsia="Arial" w:hAnsi="Arial"/>
          <w:sz w:val="16"/>
          <w:szCs w:val="16"/>
          <w:color w:val="auto"/>
        </w:rPr>
      </w:pPr>
      <w:r>
        <w:rPr>
          <w:rFonts w:ascii="Arial" w:cs="Arial" w:eastAsia="Arial" w:hAnsi="Arial"/>
          <w:sz w:val="16"/>
          <w:szCs w:val="16"/>
          <w:color w:val="auto"/>
        </w:rPr>
        <w:t>AQR Capital Management Holdings, LLC, a Delaware limited liability company* AQR Capital Management II, LLC, a Delaware limited liability company* AQR Capital Management, LLC, a Delaware limited liability company*</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Arrow Acquisition LLC, a Delaware limited liability company</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Arrow Bidco Limited, a limited company incorporated in the United Kingdom</w:t>
      </w:r>
    </w:p>
    <w:p>
      <w:pPr>
        <w:spacing w:after="0" w:line="9" w:lineRule="exact"/>
        <w:rPr>
          <w:rFonts w:ascii="Arial" w:cs="Arial" w:eastAsia="Arial" w:hAnsi="Arial"/>
          <w:sz w:val="16"/>
          <w:szCs w:val="16"/>
          <w:color w:val="auto"/>
        </w:rPr>
      </w:pPr>
    </w:p>
    <w:p>
      <w:pPr>
        <w:ind w:right="4700"/>
        <w:spacing w:after="0" w:line="281" w:lineRule="auto"/>
        <w:rPr>
          <w:rFonts w:ascii="Arial" w:cs="Arial" w:eastAsia="Arial" w:hAnsi="Arial"/>
          <w:sz w:val="16"/>
          <w:szCs w:val="16"/>
          <w:color w:val="auto"/>
        </w:rPr>
      </w:pPr>
      <w:r>
        <w:rPr>
          <w:rFonts w:ascii="Arial" w:cs="Arial" w:eastAsia="Arial" w:hAnsi="Arial"/>
          <w:sz w:val="16"/>
          <w:szCs w:val="16"/>
          <w:color w:val="auto"/>
        </w:rPr>
        <w:t>Artemis Asset Management Limited, a limited company incorporated in the United Kingdom Artemis Fund Managers Limited, a limited company incorporated in the United Kingdom Artemis Investment Management LLP, a United Kingdom limited liability partnership</w:t>
      </w:r>
    </w:p>
    <w:p>
      <w:pPr>
        <w:spacing w:after="0" w:line="2" w:lineRule="exact"/>
        <w:rPr>
          <w:rFonts w:ascii="Arial" w:cs="Arial" w:eastAsia="Arial" w:hAnsi="Arial"/>
          <w:sz w:val="16"/>
          <w:szCs w:val="16"/>
          <w:color w:val="auto"/>
        </w:rPr>
      </w:pPr>
    </w:p>
    <w:p>
      <w:pPr>
        <w:ind w:right="4000"/>
        <w:spacing w:after="0" w:line="250" w:lineRule="auto"/>
        <w:rPr>
          <w:rFonts w:ascii="Arial" w:cs="Arial" w:eastAsia="Arial" w:hAnsi="Arial"/>
          <w:sz w:val="16"/>
          <w:szCs w:val="16"/>
          <w:color w:val="auto"/>
        </w:rPr>
      </w:pPr>
      <w:r>
        <w:rPr>
          <w:rFonts w:ascii="Arial" w:cs="Arial" w:eastAsia="Arial" w:hAnsi="Arial"/>
          <w:sz w:val="18"/>
          <w:szCs w:val="18"/>
          <w:color w:val="auto"/>
        </w:rPr>
        <w:t>Artemis Strategic Asset Management Limited, a limited company incorporated in the United Kingdom Aston Asset Management, LP, a Delaware limited partnership</w:t>
      </w:r>
    </w:p>
    <w:p>
      <w:pPr>
        <w:ind w:right="5540"/>
        <w:spacing w:after="0" w:line="273" w:lineRule="auto"/>
        <w:rPr>
          <w:rFonts w:ascii="Arial" w:cs="Arial" w:eastAsia="Arial" w:hAnsi="Arial"/>
          <w:sz w:val="16"/>
          <w:szCs w:val="16"/>
          <w:color w:val="auto"/>
        </w:rPr>
      </w:pPr>
      <w:r>
        <w:rPr>
          <w:rFonts w:ascii="Arial" w:cs="Arial" w:eastAsia="Arial" w:hAnsi="Arial"/>
          <w:sz w:val="17"/>
          <w:szCs w:val="17"/>
          <w:color w:val="auto"/>
        </w:rPr>
        <w:t>Beutel, Goodman &amp; Company Ltd., a limited company incorporated in Canada* BlueMountain Capital Management, LLC, a Delaware limited liability company* BlueMountain GP Holdings, LLC, a Delaware limited liability company* BMCM Acquisition, LLC, a Delaware limited liability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Bowman Partners GP Co., a Cayman Islands exempted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Catalyst Acquisition II,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Channel Ventures GP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Equity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Cinegate Financial Services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Cinegate Production Management Services 2001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Deans Knight Capital Management Ltd.,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El-Train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Essex Investment Management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 (DE) Acquisition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 (WY) Acquisition Company,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FCMC Holdings LLC, a Delaware limited liability company</w:t>
      </w:r>
    </w:p>
    <w:p>
      <w:pPr>
        <w:sectPr>
          <w:pgSz w:w="11900" w:h="16848" w:orient="portrait"/>
          <w:cols w:equalWidth="0" w:num="1">
            <w:col w:w="11420"/>
          </w:cols>
          <w:pgMar w:left="240" w:top="364" w:right="239" w:bottom="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FIAMI Production Management Services 2001 Inc., a Canada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Asset Capital Management (III)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Asset Resources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Corp., a New Jersey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Fortigent Holdings Company, Inc., a Maryland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Foyston, Gordon &amp; Payne Inc., a Canada corporation</w:t>
      </w:r>
    </w:p>
    <w:p>
      <w:pPr>
        <w:spacing w:after="0" w:line="9" w:lineRule="exact"/>
        <w:rPr>
          <w:sz w:val="20"/>
          <w:szCs w:val="20"/>
          <w:color w:val="auto"/>
        </w:rPr>
      </w:pPr>
    </w:p>
    <w:p>
      <w:pPr>
        <w:ind w:right="4839"/>
        <w:spacing w:after="0" w:line="265" w:lineRule="auto"/>
        <w:rPr>
          <w:sz w:val="20"/>
          <w:szCs w:val="20"/>
          <w:color w:val="auto"/>
        </w:rPr>
      </w:pPr>
      <w:r>
        <w:rPr>
          <w:rFonts w:ascii="Arial" w:cs="Arial" w:eastAsia="Arial" w:hAnsi="Arial"/>
          <w:sz w:val="17"/>
          <w:szCs w:val="17"/>
          <w:color w:val="auto"/>
        </w:rPr>
        <w:t>Friess Associates of Delaware, LLC, a Delaware limited liability company Friess Associates, LLC, a Delaware limited liability company</w:t>
      </w:r>
    </w:p>
    <w:p>
      <w:pPr>
        <w:ind w:right="4159"/>
        <w:spacing w:after="0" w:line="281" w:lineRule="auto"/>
        <w:rPr>
          <w:sz w:val="20"/>
          <w:szCs w:val="20"/>
          <w:color w:val="auto"/>
        </w:rPr>
      </w:pPr>
      <w:r>
        <w:rPr>
          <w:rFonts w:ascii="Arial" w:cs="Arial" w:eastAsia="Arial" w:hAnsi="Arial"/>
          <w:sz w:val="16"/>
          <w:szCs w:val="16"/>
          <w:color w:val="auto"/>
        </w:rPr>
        <w:t>Frontier Capital Management Company, LLC, a Delaware limited liability company Frontier Capital Management Incentive, LLC, a Delaware limited liability company</w:t>
      </w:r>
    </w:p>
    <w:p>
      <w:pPr>
        <w:spacing w:after="0" w:line="1" w:lineRule="exact"/>
        <w:rPr>
          <w:sz w:val="20"/>
          <w:szCs w:val="20"/>
          <w:color w:val="auto"/>
        </w:rPr>
      </w:pPr>
    </w:p>
    <w:p>
      <w:pPr>
        <w:ind w:right="2099"/>
        <w:spacing w:after="0" w:line="250" w:lineRule="auto"/>
        <w:rPr>
          <w:sz w:val="20"/>
          <w:szCs w:val="20"/>
          <w:color w:val="auto"/>
        </w:rPr>
      </w:pPr>
      <w:r>
        <w:rPr>
          <w:rFonts w:ascii="Arial" w:cs="Arial" w:eastAsia="Arial" w:hAnsi="Arial"/>
          <w:sz w:val="18"/>
          <w:szCs w:val="18"/>
          <w:color w:val="auto"/>
        </w:rPr>
        <w:t>Gannett Welsh &amp; Kotler, LLC (formerly known as Boston Interests, LLC), a Delaware limited liability company GE Asia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Genesis Asset Managers, LLP (formerly known as Genesis Fund Managers, LLP), a Delaware limited liability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Genesis Investment Management, LLP, a U.K.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Harding Loevner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HWL Holdings Corp. (formerly known as SKYLP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 Hartwell Limited Partnership,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Asia 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Europe 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Europe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USA 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USA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Equity Interests Plan 2010,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Equity Interests Plan 2011,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Louisbourg Investments Inc., a New Brunswick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LTEIP 2011 GP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LTEIP GP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LTEIP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M.J. Whitman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Managers Distributors, Inc., a Delaware corporation</w:t>
      </w:r>
    </w:p>
    <w:p>
      <w:pPr>
        <w:spacing w:after="0" w:line="9" w:lineRule="exact"/>
        <w:rPr>
          <w:sz w:val="20"/>
          <w:szCs w:val="20"/>
          <w:color w:val="auto"/>
        </w:rPr>
      </w:pPr>
    </w:p>
    <w:p>
      <w:pPr>
        <w:ind w:right="4999"/>
        <w:spacing w:after="0" w:line="250" w:lineRule="auto"/>
        <w:rPr>
          <w:sz w:val="20"/>
          <w:szCs w:val="20"/>
          <w:color w:val="auto"/>
        </w:rPr>
      </w:pPr>
      <w:r>
        <w:rPr>
          <w:rFonts w:ascii="Arial" w:cs="Arial" w:eastAsia="Arial" w:hAnsi="Arial"/>
          <w:sz w:val="18"/>
          <w:szCs w:val="18"/>
          <w:color w:val="auto"/>
        </w:rPr>
        <w:t>Managers Investment Group LLC, a Delaware limited liability company Manor LLC, a Delaware limited liability company</w:t>
      </w:r>
    </w:p>
    <w:p>
      <w:pPr>
        <w:spacing w:after="0" w:line="1" w:lineRule="exact"/>
        <w:rPr>
          <w:sz w:val="20"/>
          <w:szCs w:val="20"/>
          <w:color w:val="auto"/>
        </w:rPr>
      </w:pPr>
    </w:p>
    <w:p>
      <w:pPr>
        <w:ind w:right="4819"/>
        <w:spacing w:after="0" w:line="265" w:lineRule="auto"/>
        <w:rPr>
          <w:sz w:val="20"/>
          <w:szCs w:val="20"/>
          <w:color w:val="auto"/>
        </w:rPr>
      </w:pPr>
      <w:r>
        <w:rPr>
          <w:rFonts w:ascii="Arial" w:cs="Arial" w:eastAsia="Arial" w:hAnsi="Arial"/>
          <w:sz w:val="17"/>
          <w:szCs w:val="17"/>
          <w:color w:val="auto"/>
        </w:rPr>
        <w:t>Monteverdi GP Limited, a limited company incorporated in Scotland Montrusco Bolton Focus Global Fund Inc., a Cayman Islands corporation* Montrusco Bolton Investments Inc., a Canada corporation* New GAML Holdco, Ltd., a Cayman Islands exempted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Millennium Venture Partners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Odin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PAIF GP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(US)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Birkin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BVK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Capital (Asia) Limited, a limited company incorporated in Hong Kong</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Pantheon Capital Partners GP, LLC, a Delaware limited liability company</w:t>
      </w:r>
    </w:p>
    <w:p>
      <w:pPr>
        <w:spacing w:after="0" w:line="23" w:lineRule="exact"/>
        <w:rPr>
          <w:sz w:val="20"/>
          <w:szCs w:val="20"/>
          <w:color w:val="auto"/>
        </w:rPr>
      </w:pPr>
    </w:p>
    <w:p>
      <w:pPr>
        <w:ind w:right="3459"/>
        <w:spacing w:after="0" w:line="265" w:lineRule="auto"/>
        <w:rPr>
          <w:sz w:val="20"/>
          <w:szCs w:val="20"/>
          <w:color w:val="auto"/>
        </w:rPr>
      </w:pPr>
      <w:r>
        <w:rPr>
          <w:rFonts w:ascii="Arial" w:cs="Arial" w:eastAsia="Arial" w:hAnsi="Arial"/>
          <w:sz w:val="17"/>
          <w:szCs w:val="17"/>
          <w:color w:val="auto"/>
        </w:rPr>
        <w:t>Pantheon Global Co-Investment Opportunities GP Ltd, a Cayman Islands exempted company Pantheon GP Limited, a limited company incorporated in England and Wales</w:t>
      </w:r>
    </w:p>
    <w:p>
      <w:pPr>
        <w:ind w:right="4219"/>
        <w:spacing w:after="0" w:line="250" w:lineRule="auto"/>
        <w:rPr>
          <w:sz w:val="20"/>
          <w:szCs w:val="20"/>
          <w:color w:val="auto"/>
        </w:rPr>
      </w:pPr>
      <w:r>
        <w:rPr>
          <w:rFonts w:ascii="Arial" w:cs="Arial" w:eastAsia="Arial" w:hAnsi="Arial"/>
          <w:sz w:val="18"/>
          <w:szCs w:val="18"/>
          <w:color w:val="auto"/>
        </w:rPr>
        <w:t>Pantheon Holdings Limited, a limited company incorporated in England and Wales Pantheon KSA GP, LLC, a Delaware limited liability company</w:t>
      </w:r>
    </w:p>
    <w:p>
      <w:pPr>
        <w:spacing w:after="0" w:line="1" w:lineRule="exact"/>
        <w:rPr>
          <w:sz w:val="20"/>
          <w:szCs w:val="20"/>
          <w:color w:val="auto"/>
        </w:rPr>
      </w:pPr>
    </w:p>
    <w:p>
      <w:pPr>
        <w:ind w:right="5019"/>
        <w:spacing w:after="0" w:line="281" w:lineRule="auto"/>
        <w:rPr>
          <w:sz w:val="20"/>
          <w:szCs w:val="20"/>
          <w:color w:val="auto"/>
        </w:rPr>
      </w:pPr>
      <w:r>
        <w:rPr>
          <w:rFonts w:ascii="Arial" w:cs="Arial" w:eastAsia="Arial" w:hAnsi="Arial"/>
          <w:sz w:val="16"/>
          <w:szCs w:val="16"/>
          <w:color w:val="auto"/>
        </w:rPr>
        <w:t>Pantheon Lille GP Limited, a limited company incorporated in Scotland Pantheon OPERS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Pantheon Partners Participation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PSI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Ventures (Guernsey) Limited, a Guernsey corporation</w:t>
      </w:r>
    </w:p>
    <w:p>
      <w:pPr>
        <w:spacing w:after="0" w:line="9" w:lineRule="exact"/>
        <w:rPr>
          <w:sz w:val="20"/>
          <w:szCs w:val="20"/>
          <w:color w:val="auto"/>
        </w:rPr>
      </w:pPr>
    </w:p>
    <w:p>
      <w:pPr>
        <w:ind w:right="3939"/>
        <w:spacing w:after="0" w:line="250" w:lineRule="auto"/>
        <w:rPr>
          <w:sz w:val="20"/>
          <w:szCs w:val="20"/>
          <w:color w:val="auto"/>
        </w:rPr>
      </w:pPr>
      <w:r>
        <w:rPr>
          <w:rFonts w:ascii="Arial" w:cs="Arial" w:eastAsia="Arial" w:hAnsi="Arial"/>
          <w:sz w:val="18"/>
          <w:szCs w:val="18"/>
          <w:color w:val="auto"/>
        </w:rPr>
        <w:t>Pantheon Ventures (HK) LLP, an England and Wales limited liability partnership Pantheon Ventures (Scotland) GP Limited, a limited company incorporated in Scotland Pantheon Ventures (UK) LLP, an England and Wales limited liability partnership Pantheon Ventures (US) Holdings LLP, a Delaware limited liability partnership Pantheon Ventures (US) LP, a Delaware limited partnership Pantheon Ventures Inc., a California corporation</w:t>
      </w:r>
    </w:p>
    <w:p>
      <w:pPr>
        <w:spacing w:after="0" w:line="3" w:lineRule="exact"/>
        <w:rPr>
          <w:sz w:val="20"/>
          <w:szCs w:val="20"/>
          <w:color w:val="auto"/>
        </w:rPr>
      </w:pPr>
    </w:p>
    <w:p>
      <w:pPr>
        <w:ind w:right="4259"/>
        <w:spacing w:after="0" w:line="250" w:lineRule="auto"/>
        <w:rPr>
          <w:sz w:val="20"/>
          <w:szCs w:val="20"/>
          <w:color w:val="auto"/>
        </w:rPr>
      </w:pPr>
      <w:r>
        <w:rPr>
          <w:rFonts w:ascii="Arial" w:cs="Arial" w:eastAsia="Arial" w:hAnsi="Arial"/>
          <w:sz w:val="18"/>
          <w:szCs w:val="18"/>
          <w:color w:val="auto"/>
        </w:rPr>
        <w:t>Pantheon Ventures Limited, a limited company incorporated in England and Wales Papillon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PASIA V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PASIA VI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PEAF VI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IV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V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VI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VII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PGIF GP Limited, a limited company incorporated in Guernsey</w:t>
      </w:r>
    </w:p>
    <w:p>
      <w:pPr>
        <w:sectPr>
          <w:pgSz w:w="11900" w:h="16838" w:orient="portrait"/>
          <w:cols w:equalWidth="0" w:num="1">
            <w:col w:w="10219"/>
          </w:cols>
          <w:pgMar w:left="240" w:top="125" w:right="1440" w:bottom="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PGIF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PGSF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III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III GP, LLC, a Delaware limited liability company</w:t>
      </w:r>
    </w:p>
    <w:p>
      <w:pPr>
        <w:spacing w:after="0" w:line="9" w:lineRule="exact"/>
        <w:rPr>
          <w:sz w:val="20"/>
          <w:szCs w:val="20"/>
          <w:color w:val="auto"/>
        </w:rPr>
      </w:pPr>
    </w:p>
    <w:p>
      <w:pPr>
        <w:ind w:right="4119"/>
        <w:spacing w:after="0" w:line="250" w:lineRule="auto"/>
        <w:rPr>
          <w:sz w:val="20"/>
          <w:szCs w:val="20"/>
          <w:color w:val="auto"/>
        </w:rPr>
      </w:pPr>
      <w:r>
        <w:rPr>
          <w:rFonts w:ascii="Arial" w:cs="Arial" w:eastAsia="Arial" w:hAnsi="Arial"/>
          <w:sz w:val="18"/>
          <w:szCs w:val="18"/>
          <w:color w:val="auto"/>
        </w:rPr>
        <w:t>PGSF IV Feeder GP Limited, a limited company incorporated in England and Wales PGSF IV GP, LLC, a Delaware limited liability company PGSH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Debt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PUSA VI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PUSA VII GP, LLC, a Delaware limited liability company</w:t>
      </w:r>
    </w:p>
    <w:p>
      <w:pPr>
        <w:spacing w:after="0" w:line="9" w:lineRule="exact"/>
        <w:rPr>
          <w:sz w:val="20"/>
          <w:szCs w:val="20"/>
          <w:color w:val="auto"/>
        </w:rPr>
      </w:pPr>
    </w:p>
    <w:p>
      <w:pPr>
        <w:ind w:right="3979"/>
        <w:spacing w:after="0" w:line="250" w:lineRule="auto"/>
        <w:rPr>
          <w:sz w:val="20"/>
          <w:szCs w:val="20"/>
          <w:color w:val="auto"/>
        </w:rPr>
      </w:pPr>
      <w:r>
        <w:rPr>
          <w:rFonts w:ascii="Arial" w:cs="Arial" w:eastAsia="Arial" w:hAnsi="Arial"/>
          <w:sz w:val="18"/>
          <w:szCs w:val="18"/>
          <w:color w:val="auto"/>
        </w:rPr>
        <w:t>PUSA VIII Feeder GP Limited, a limited company incorporated in England and Wales PUSA VIII GP, LLC, a Delaware limited liability company</w:t>
      </w:r>
    </w:p>
    <w:p>
      <w:pPr>
        <w:spacing w:after="0" w:line="1" w:lineRule="exact"/>
        <w:rPr>
          <w:sz w:val="20"/>
          <w:szCs w:val="20"/>
          <w:color w:val="auto"/>
        </w:rPr>
      </w:pPr>
    </w:p>
    <w:p>
      <w:pPr>
        <w:ind w:right="4099"/>
        <w:spacing w:after="0" w:line="250" w:lineRule="auto"/>
        <w:rPr>
          <w:sz w:val="20"/>
          <w:szCs w:val="20"/>
          <w:color w:val="auto"/>
        </w:rPr>
      </w:pPr>
      <w:r>
        <w:rPr>
          <w:rFonts w:ascii="Arial" w:cs="Arial" w:eastAsia="Arial" w:hAnsi="Arial"/>
          <w:sz w:val="18"/>
          <w:szCs w:val="18"/>
          <w:color w:val="auto"/>
        </w:rPr>
        <w:t>PUSA IX Feeder GP Limited, a limited company incorporated in England and Wales PUSA IX GP, LLC, a Delaware limited liability company PVP II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Quartet Capital Corporation,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Mile Syndication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Rorer Asset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SCP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Shamrock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 GP, LLC, a Delaware limited liability company</w:t>
      </w:r>
    </w:p>
    <w:p>
      <w:pPr>
        <w:spacing w:after="0" w:line="9" w:lineRule="exact"/>
        <w:rPr>
          <w:sz w:val="20"/>
          <w:szCs w:val="20"/>
          <w:color w:val="auto"/>
        </w:rPr>
      </w:pPr>
    </w:p>
    <w:p>
      <w:pPr>
        <w:ind w:right="5039"/>
        <w:spacing w:after="0" w:line="281" w:lineRule="auto"/>
        <w:rPr>
          <w:sz w:val="20"/>
          <w:szCs w:val="20"/>
          <w:color w:val="auto"/>
        </w:rPr>
      </w:pPr>
      <w:r>
        <w:rPr>
          <w:rFonts w:ascii="Arial" w:cs="Arial" w:eastAsia="Arial" w:hAnsi="Arial"/>
          <w:sz w:val="16"/>
          <w:szCs w:val="16"/>
          <w:color w:val="auto"/>
        </w:rPr>
        <w:t>Systematic Financial Management, L.P., a Delaware limited partnership The Renaissance Group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Third Avenue Holdings Delaware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Avenue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Manager Member,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GP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TMF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Topspin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Trident NYC Acquisition, LLC, a Delaware limited liability company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79"/>
        <w:spacing w:after="0" w:line="256" w:lineRule="auto"/>
        <w:rPr>
          <w:sz w:val="20"/>
          <w:szCs w:val="20"/>
          <w:color w:val="auto"/>
        </w:rPr>
      </w:pPr>
      <w:r>
        <w:rPr>
          <w:rFonts w:ascii="Arial" w:cs="Arial" w:eastAsia="Arial" w:hAnsi="Arial"/>
          <w:sz w:val="18"/>
          <w:szCs w:val="18"/>
          <w:color w:val="auto"/>
        </w:rPr>
        <w:t>Trilogy Global Advisors International LLP, a limited liability partnership incorporated in the United Kingdom Trilogy Global Advisors UK Holdings Limited, a limited company incorporated in the United Kingdom Trilogy Global Advisors, LP, a Delaware limited partnership</w:t>
      </w:r>
    </w:p>
    <w:p>
      <w:pPr>
        <w:spacing w:after="0"/>
        <w:rPr>
          <w:sz w:val="20"/>
          <w:szCs w:val="20"/>
          <w:color w:val="auto"/>
        </w:rPr>
      </w:pPr>
      <w:r>
        <w:rPr>
          <w:rFonts w:ascii="Arial" w:cs="Arial" w:eastAsia="Arial" w:hAnsi="Arial"/>
          <w:sz w:val="18"/>
          <w:szCs w:val="18"/>
          <w:color w:val="auto"/>
        </w:rPr>
        <w:t>Tweedy, Browne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Tweedy, Browne Incentive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 Partners 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 Partners III,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 SmallCap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Partners Group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Capital Management,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Capital Management, LLC, a Delaware limited liability company *</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ValueAct Holdings GP, LLC (formerly known as Catalyst GP,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ValueAct Holdings, L.P. (formerly known as Catalyst Holdings, L.P.), a Delaware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ValueAct SmallCap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Inc., a Massachusetts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Wilshire Financial Services Inc., an Alberta 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16" w:name="page117"/>
    <w:bookmarkEnd w:id="116"/>
    <w:p>
      <w:pPr>
        <w:spacing w:after="0"/>
        <w:rPr>
          <w:rFonts w:ascii="Arial" w:cs="Arial" w:eastAsia="Arial" w:hAnsi="Arial"/>
          <w:sz w:val="22"/>
          <w:szCs w:val="22"/>
          <w:color w:val="0000EE"/>
        </w:rPr>
      </w:pPr>
      <w:hyperlink w:anchor="page11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 on Forms S-3 (No. 333-168627) and S-8 (No. 333-175912, No. 333-135416, No. 333-129748, No. 333-100628, No. 333-84485, and No. 333-72967) of Affiliated Managers Group, Inc. (the "Company") of our report dated February 23, 2012 relating to the financial statements, financial statement schedule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118" w:name="page119"/>
    <w:bookmarkEnd w:id="118"/>
    <w:p>
      <w:pPr>
        <w:spacing w:after="0"/>
        <w:rPr>
          <w:rFonts w:ascii="Arial" w:cs="Arial" w:eastAsia="Arial" w:hAnsi="Arial"/>
          <w:sz w:val="22"/>
          <w:szCs w:val="22"/>
          <w:color w:val="0000EE"/>
        </w:rPr>
      </w:pPr>
      <w:hyperlink w:anchor="page1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Sean M. Healey, certify that:</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62230</wp:posOffset>
            </wp:positionV>
            <wp:extent cx="24098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20" w:name="page121"/>
    <w:bookmarkEnd w:id="120"/>
    <w:p>
      <w:pPr>
        <w:spacing w:after="0"/>
        <w:rPr>
          <w:rFonts w:ascii="Arial" w:cs="Arial" w:eastAsia="Arial" w:hAnsi="Arial"/>
          <w:sz w:val="22"/>
          <w:szCs w:val="22"/>
          <w:color w:val="0000EE"/>
        </w:rPr>
      </w:pPr>
      <w:hyperlink w:anchor="page1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Jay C. Horgen, certify that:</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9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62230</wp:posOffset>
            </wp:positionV>
            <wp:extent cx="24098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Jay C. Horgen</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22" w:name="page123"/>
    <w:bookmarkEnd w:id="122"/>
    <w:p>
      <w:pPr>
        <w:spacing w:after="0"/>
        <w:rPr>
          <w:rFonts w:ascii="Arial" w:cs="Arial" w:eastAsia="Arial" w:hAnsi="Arial"/>
          <w:sz w:val="22"/>
          <w:szCs w:val="22"/>
          <w:color w:val="0000EE"/>
        </w:rPr>
      </w:pPr>
      <w:hyperlink w:anchor="page1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2011 as filed with the Securities and Exchange Commission on the date hereof (the "Report"), the undersigned, Sean M. Healey, Chief Executive Officer of the Company, hereby certifies, pursuant to 18 U.S.C. Section 1350, that:</w:t>
      </w:r>
    </w:p>
    <w:p>
      <w:pPr>
        <w:spacing w:after="0" w:line="208"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160" w:firstLine="548"/>
        <w:spacing w:after="0" w:line="501"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23, 2012</w:t>
      </w:r>
    </w:p>
    <w:p>
      <w:pPr>
        <w:ind w:left="54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62230</wp:posOffset>
            </wp:positionV>
            <wp:extent cx="33445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124" w:name="page125"/>
    <w:bookmarkEnd w:id="124"/>
    <w:p>
      <w:pPr>
        <w:spacing w:after="0"/>
        <w:rPr>
          <w:rFonts w:ascii="Arial" w:cs="Arial" w:eastAsia="Arial" w:hAnsi="Arial"/>
          <w:sz w:val="22"/>
          <w:szCs w:val="22"/>
          <w:color w:val="0000EE"/>
        </w:rPr>
      </w:pPr>
      <w:hyperlink w:anchor="page1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2011 as filed with the Securities and Exchange Commission on the date hereof (the "Report"), the undersigned, Jay C. Horgen, Chief Financial Officer and Treasurer of the Company, hereby certifies, pursuant to 18 U.S.C. Section 1350, that:</w:t>
      </w:r>
    </w:p>
    <w:p>
      <w:pPr>
        <w:spacing w:after="0" w:line="208"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160" w:firstLine="548"/>
        <w:spacing w:after="0" w:line="501"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23, 2012</w:t>
      </w:r>
    </w:p>
    <w:p>
      <w:pPr>
        <w:ind w:left="54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62230</wp:posOffset>
            </wp:positionV>
            <wp:extent cx="33445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Jay C. Horgen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decimal"/>
      <w:start w:val="3"/>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4"/>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1)"/>
      <w:numFmt w:val="lowerLetter"/>
      <w:start w:val="6"/>
    </w:lvl>
  </w:abstractNum>
  <w:abstractNum w:abstractNumId="26">
    <w:nsid w:val="579BE4F1"/>
    <w:multiLevelType w:val="hybridMultilevel"/>
    <w:lvl w:ilvl="0">
      <w:lvlJc w:val="left"/>
      <w:lvlText w:val="(%1)"/>
      <w:numFmt w:val="lowerRoman"/>
      <w:start w:val="1"/>
    </w:lvl>
  </w:abstractNum>
  <w:abstractNum w:abstractNumId="27">
    <w:nsid w:val="310C50B3"/>
    <w:multiLevelType w:val="hybridMultilevel"/>
    <w:lvl w:ilvl="0">
      <w:lvlJc w:val="left"/>
      <w:lvlText w:val="(%1)"/>
      <w:numFmt w:val="lowerLetter"/>
      <w:start w:val="12"/>
    </w:lvl>
  </w:abstractNum>
  <w:abstractNum w:abstractNumId="28">
    <w:nsid w:val="5FF87E05"/>
    <w:multiLevelType w:val="hybridMultilevel"/>
    <w:lvl w:ilvl="0">
      <w:lvlJc w:val="left"/>
      <w:lvlText w:val="(%1)"/>
      <w:numFmt w:val="lowerLetter"/>
      <w:start w:val="18"/>
    </w:lvl>
  </w:abstractNum>
  <w:abstractNum w:abstractNumId="29">
    <w:nsid w:val="2F305DEF"/>
    <w:multiLevelType w:val="hybridMultilevel"/>
    <w:lvl w:ilvl="0">
      <w:lvlJc w:val="left"/>
      <w:lvlText w:val="%1."/>
      <w:numFmt w:val="decimal"/>
      <w:start w:val="2"/>
    </w:lvl>
  </w:abstractNum>
  <w:abstractNum w:abstractNumId="30">
    <w:nsid w:val="25A70BF7"/>
    <w:multiLevelType w:val="hybridMultilevel"/>
    <w:lvl w:ilvl="0">
      <w:lvlJc w:val="left"/>
      <w:lvlText w:val="%1."/>
      <w:numFmt w:val="decimal"/>
      <w:start w:val="3"/>
    </w:lvl>
  </w:abstractNum>
  <w:abstractNum w:abstractNumId="31">
    <w:nsid w:val="1DBABF00"/>
    <w:multiLevelType w:val="hybridMultilevel"/>
    <w:lvl w:ilvl="0">
      <w:lvlJc w:val="left"/>
      <w:lvlText w:val="%1."/>
      <w:numFmt w:val="decimal"/>
      <w:start w:val="4"/>
    </w:lvl>
  </w:abstractNum>
  <w:abstractNum w:abstractNumId="32">
    <w:nsid w:val="4AD084E9"/>
    <w:multiLevelType w:val="hybridMultilevel"/>
    <w:lvl w:ilvl="0">
      <w:lvlJc w:val="left"/>
      <w:lvlText w:val="%1."/>
      <w:numFmt w:val="decimal"/>
      <w:start w:val="5"/>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6"/>
    </w:lvl>
  </w:abstractNum>
  <w:abstractNum w:abstractNumId="37">
    <w:nsid w:val="6590700B"/>
    <w:multiLevelType w:val="hybridMultilevel"/>
    <w:lvl w:ilvl="0">
      <w:lvlJc w:val="left"/>
      <w:lvlText w:val="%1."/>
      <w:numFmt w:val="decimal"/>
      <w:start w:val="8"/>
    </w:lvl>
  </w:abstractNum>
  <w:abstractNum w:abstractNumId="38">
    <w:nsid w:val="15014ACB"/>
    <w:multiLevelType w:val="hybridMultilevel"/>
    <w:lvl w:ilvl="0">
      <w:lvlJc w:val="left"/>
      <w:lvlText w:val="%1."/>
      <w:numFmt w:val="decimal"/>
      <w:start w:val="9"/>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lvl w:ilvl="1">
      <w:lvlJc w:val="left"/>
      <w:lvlText w:val="(%2)"/>
      <w:numFmt w:val="decimal"/>
      <w:start w:val="3"/>
    </w:lvl>
  </w:abstractNum>
  <w:abstractNum w:abstractNumId="42">
    <w:nsid w:val="6B94764"/>
    <w:multiLevelType w:val="hybridMultilevel"/>
    <w:lvl w:ilvl="0">
      <w:lvlJc w:val="left"/>
      <w:lvlText w:val="%1."/>
      <w:numFmt w:val="decimal"/>
      <w:start w:val="12"/>
    </w:lvl>
    <w:lvl w:ilvl="1">
      <w:lvlJc w:val="left"/>
      <w:lvlText w:val="%2"/>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5"/>
    </w:lvl>
  </w:abstractNum>
  <w:abstractNum w:abstractNumId="47">
    <w:nsid w:val="5DC79EA8"/>
    <w:multiLevelType w:val="hybridMultilevel"/>
    <w:lvl w:ilvl="0">
      <w:lvlJc w:val="left"/>
      <w:lvlText w:val="%1."/>
      <w:numFmt w:val="decimal"/>
      <w:start w:val="19"/>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3"/>
    </w:lvl>
  </w:abstractNum>
  <w:abstractNum w:abstractNumId="51">
    <w:nsid w:val="613EFDC5"/>
    <w:multiLevelType w:val="hybridMultilevel"/>
    <w:lvl w:ilvl="0">
      <w:lvlJc w:val="left"/>
      <w:lvlText w:val="%1."/>
      <w:numFmt w:val="decimal"/>
      <w:start w:val="24"/>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lowerLetter"/>
      <w:start w:val="1"/>
    </w:lvl>
    <w:lvl w:ilvl="1">
      <w:lvlJc w:val="left"/>
      <w:lvlText w:val="(%2)"/>
      <w:numFmt w:val="decimal"/>
      <w:start w:val="2"/>
    </w:lvl>
  </w:abstractNum>
  <w:abstractNum w:abstractNumId="55">
    <w:nsid w:val="A0382C5"/>
    <w:multiLevelType w:val="hybridMultilevel"/>
    <w:lvl w:ilvl="0">
      <w:lvlJc w:val="left"/>
      <w:lvlText w:val="†"/>
      <w:numFmt w:val="bullet"/>
      <w:start w:val="1"/>
    </w:lvl>
    <w:lvl w:ilvl="1">
      <w:lvlJc w:val="left"/>
      <w:lvlText w:val="%2"/>
      <w:numFmt w:val="decimal"/>
      <w:start w:val="10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7"/>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lowerLetter"/>
      <w:start w:val="3"/>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2"/>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1)"/>
      <w:numFmt w:val="lowerLetter"/>
      <w:start w:val="5"/>
    </w:lvl>
  </w:abstractNum>
  <w:abstractNum w:abstractNumId="66">
    <w:nsid w:val="71EA1109"/>
    <w:multiLevelType w:val="hybridMultilevel"/>
    <w:lvl w:ilvl="0">
      <w:lvlJc w:val="left"/>
      <w:lvlText w:val="(%1)"/>
      <w:numFmt w:val="lowerLetter"/>
      <w:start w:val="1"/>
    </w:lvl>
  </w:abstractNum>
  <w:abstractNum w:abstractNumId="67">
    <w:nsid w:val="100F59DC"/>
    <w:multiLevelType w:val="hybridMultilevel"/>
    <w:lvl w:ilvl="0">
      <w:lvlJc w:val="left"/>
      <w:lvlText w:val="(%1)"/>
      <w:numFmt w:val="lowerLetter"/>
      <w:start w:val="1"/>
    </w:lvl>
  </w:abstractNum>
  <w:abstractNum w:abstractNumId="68">
    <w:nsid w:val="7FB7E0AA"/>
    <w:multiLevelType w:val="hybridMultilevel"/>
    <w:lvl w:ilvl="0">
      <w:lvlJc w:val="left"/>
      <w:lvlText w:val="(%1)"/>
      <w:numFmt w:val="lowerLetter"/>
      <w:start w:val="2"/>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lowerLetter"/>
      <w:start w:val="4"/>
    </w:lvl>
  </w:abstractNum>
  <w:abstractNum w:abstractNumId="71">
    <w:nsid w:val="94211F2"/>
    <w:multiLevelType w:val="hybridMultilevel"/>
    <w:lvl w:ilvl="0">
      <w:lvlJc w:val="left"/>
      <w:lvlText w:val="(%1)"/>
      <w:numFmt w:val="lowerLetter"/>
      <w:start w:val="5"/>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Letter"/>
      <w:start w:val="2"/>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lowerLetter"/>
      <w:start w:val="2"/>
    </w:lvl>
  </w:abstractNum>
  <w:abstractNum w:abstractNumId="79">
    <w:nsid w:val="68EBC550"/>
    <w:multiLevelType w:val="hybridMultilevel"/>
    <w:lvl w:ilvl="0">
      <w:lvlJc w:val="left"/>
      <w:lvlText w:val="(%1)"/>
      <w:numFmt w:val="lowerLetter"/>
      <w:start w:val="1"/>
    </w:lvl>
  </w:abstractNum>
  <w:abstractNum w:abstractNumId="80">
    <w:nsid w:val="2DF6D648"/>
    <w:multiLevelType w:val="hybridMultilevel"/>
    <w:lvl w:ilvl="0">
      <w:lvlJc w:val="left"/>
      <w:lvlText w:val="(%1)"/>
      <w:numFmt w:val="lowerLetter"/>
      <w:start w:val="3"/>
    </w:lvl>
  </w:abstractNum>
  <w:abstractNum w:abstractNumId="81">
    <w:nsid w:val="46B7D447"/>
    <w:multiLevelType w:val="hybridMultilevel"/>
    <w:lvl w:ilvl="0">
      <w:lvlJc w:val="left"/>
      <w:lvlText w:val="(%1)"/>
      <w:numFmt w:val="lowerLetter"/>
      <w:start w:val="4"/>
    </w:lvl>
    <w:lvl w:ilvl="1">
      <w:lvlJc w:val="left"/>
      <w:lvlText w:val="(%2)"/>
      <w:numFmt w:val="lowerRoman"/>
      <w:start w:val="1"/>
    </w:lvl>
  </w:abstractNum>
  <w:abstractNum w:abstractNumId="82">
    <w:nsid w:val="4A2AC315"/>
    <w:multiLevelType w:val="hybridMultilevel"/>
    <w:lvl w:ilvl="0">
      <w:lvlJc w:val="left"/>
      <w:lvlText w:val="(%1)"/>
      <w:numFmt w:val="lowerLetter"/>
      <w:start w:val="6"/>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lowerLetter"/>
      <w:start w:val="2"/>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lowerLetter"/>
      <w:start w:val="2"/>
    </w:lvl>
  </w:abstractNum>
  <w:abstractNum w:abstractNumId="88">
    <w:nsid w:val="26F324BA"/>
    <w:multiLevelType w:val="hybridMultilevel"/>
    <w:lvl w:ilvl="0">
      <w:lvlJc w:val="left"/>
      <w:lvlText w:val="(%1)"/>
      <w:numFmt w:val="lowerLetter"/>
      <w:start w:val="4"/>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lowerLetter"/>
      <w:start w:val="1"/>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lowerLetter"/>
      <w:start w:val="2"/>
    </w:lvl>
  </w:abstractNum>
  <w:abstractNum w:abstractNumId="93">
    <w:nsid w:val="50801EE1"/>
    <w:multiLevelType w:val="hybridMultilevel"/>
    <w:lvl w:ilvl="0">
      <w:lvlJc w:val="left"/>
      <w:lvlText w:val="(%1)"/>
      <w:numFmt w:val="lowerRoman"/>
      <w:start w:val="4"/>
    </w:lvl>
  </w:abstractNum>
  <w:abstractNum w:abstractNumId="94">
    <w:nsid w:val="488AC1A"/>
    <w:multiLevelType w:val="hybridMultilevel"/>
    <w:lvl w:ilvl="0">
      <w:lvlJc w:val="left"/>
      <w:lvlText w:val="(%1)"/>
      <w:numFmt w:val="lowerRoman"/>
      <w:start w:val="2"/>
    </w:lvl>
  </w:abstractNum>
  <w:abstractNum w:abstractNumId="95">
    <w:nsid w:val="5FB8011C"/>
    <w:multiLevelType w:val="hybridMultilevel"/>
    <w:lvl w:ilvl="0">
      <w:lvlJc w:val="left"/>
      <w:lvlText w:val="%1"/>
      <w:numFmt w:val="upperLetter"/>
      <w:start w:val="27"/>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2019-12-09T11:58:07Z</dcterms:created>
  <dcterms:modified xsi:type="dcterms:W3CDTF">2019-12-09T11:58:07Z</dcterms:modified>
</cp:coreProperties>
</file>